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53078" w:rsidRDefault="00C05B65" w:rsidP="00253078">
      <w:pPr>
        <w:spacing w:line="360" w:lineRule="auto"/>
        <w:ind w:left="0" w:right="0"/>
        <w:jc w:val="center"/>
        <w:rPr>
          <w:b/>
          <w:bCs/>
          <w:color w:val="FF0066"/>
          <w:sz w:val="44"/>
          <w:szCs w:val="44"/>
        </w:rPr>
      </w:pPr>
      <w:r w:rsidRPr="00C05B65">
        <w:rPr>
          <w:noProof/>
          <w:lang w:eastAsia="fr-FR"/>
        </w:rPr>
        <w:pict>
          <v:rect id="_x0000_s1041" style="position:absolute;left:0;text-align:left;margin-left:54.9pt;margin-top:-5.1pt;width:275.25pt;height:39.75pt;z-index:-251658752" strokeweight="1.5pt"/>
        </w:pict>
      </w:r>
      <w:r w:rsidR="00722A05" w:rsidRPr="00253078">
        <w:t xml:space="preserve"> </w:t>
      </w:r>
      <w:r w:rsidR="00722A05" w:rsidRPr="00722A05">
        <w:rPr>
          <w:b/>
          <w:bCs/>
          <w:color w:val="FF0066"/>
          <w:sz w:val="44"/>
          <w:szCs w:val="44"/>
        </w:rPr>
        <w:t>LES INFECTIONS URINAIRES</w:t>
      </w:r>
    </w:p>
    <w:p w:rsidR="00722A05" w:rsidRPr="00722A05" w:rsidRDefault="00722A05" w:rsidP="00253078">
      <w:pPr>
        <w:spacing w:line="360" w:lineRule="auto"/>
        <w:ind w:left="0" w:right="0"/>
        <w:jc w:val="center"/>
        <w:rPr>
          <w:b/>
          <w:bCs/>
          <w:color w:val="FF0066"/>
          <w:sz w:val="44"/>
          <w:szCs w:val="44"/>
        </w:rPr>
      </w:pPr>
    </w:p>
    <w:p w:rsidR="00253078" w:rsidRDefault="00253078" w:rsidP="00253078">
      <w:pPr>
        <w:spacing w:line="276" w:lineRule="auto"/>
        <w:ind w:left="0" w:right="0"/>
        <w:jc w:val="center"/>
      </w:pPr>
    </w:p>
    <w:p w:rsidR="00253078" w:rsidRPr="00722A05" w:rsidRDefault="00722A05" w:rsidP="00253078">
      <w:pPr>
        <w:pStyle w:val="Titre1"/>
        <w:shd w:val="clear" w:color="auto" w:fill="auto"/>
        <w:spacing w:line="276" w:lineRule="auto"/>
        <w:ind w:left="0" w:right="0"/>
        <w:rPr>
          <w:szCs w:val="26"/>
        </w:rPr>
      </w:pPr>
      <w:r w:rsidRPr="00722A05">
        <w:rPr>
          <w:szCs w:val="26"/>
        </w:rPr>
        <w:t>DEFINITION</w:t>
      </w:r>
    </w:p>
    <w:p w:rsidR="00253078" w:rsidRDefault="00253078" w:rsidP="00253078">
      <w:pPr>
        <w:spacing w:line="276" w:lineRule="auto"/>
        <w:ind w:left="0" w:right="0"/>
      </w:pPr>
      <w:r>
        <w:t xml:space="preserve">L’infection urinaire est caractérisée par la présence d’une </w:t>
      </w:r>
      <w:r w:rsidR="00722A05">
        <w:t>bactériurie</w:t>
      </w:r>
      <w:r>
        <w:t xml:space="preserve"> significative (100000 bactéries/</w:t>
      </w:r>
      <w:proofErr w:type="spellStart"/>
      <w:r>
        <w:t>mL</w:t>
      </w:r>
      <w:proofErr w:type="spellEnd"/>
      <w:r>
        <w:t xml:space="preserve"> d’urine) associée à une </w:t>
      </w:r>
      <w:proofErr w:type="spellStart"/>
      <w:r>
        <w:t>leucocyturie</w:t>
      </w:r>
      <w:proofErr w:type="spellEnd"/>
      <w:r>
        <w:t xml:space="preserve">&gt; 10000 leucocytes/ </w:t>
      </w:r>
      <w:proofErr w:type="spellStart"/>
      <w:r>
        <w:t>mL</w:t>
      </w:r>
      <w:proofErr w:type="spellEnd"/>
    </w:p>
    <w:p w:rsidR="00253078" w:rsidRDefault="00253078" w:rsidP="00253078">
      <w:pPr>
        <w:spacing w:line="276" w:lineRule="auto"/>
        <w:ind w:left="0" w:right="0"/>
      </w:pPr>
      <w:r>
        <w:t>Habituellement l’urine est stérile et la cytologie urinai</w:t>
      </w:r>
      <w:bookmarkStart w:id="0" w:name="_GoBack"/>
      <w:bookmarkEnd w:id="0"/>
      <w:r>
        <w:t>re se limite à quelques leucocytes (&lt; 10 leucocytes /</w:t>
      </w:r>
      <w:proofErr w:type="spellStart"/>
      <w:r>
        <w:t>mL</w:t>
      </w:r>
      <w:proofErr w:type="spellEnd"/>
      <w:r>
        <w:t>)</w:t>
      </w:r>
    </w:p>
    <w:p w:rsidR="00253078" w:rsidRDefault="00253078" w:rsidP="00253078">
      <w:pPr>
        <w:spacing w:line="276" w:lineRule="auto"/>
        <w:ind w:left="0" w:right="0"/>
      </w:pPr>
    </w:p>
    <w:p w:rsidR="00253078" w:rsidRPr="00722A05" w:rsidRDefault="00722A05" w:rsidP="00253078">
      <w:pPr>
        <w:pStyle w:val="Titre1"/>
        <w:shd w:val="clear" w:color="auto" w:fill="auto"/>
        <w:spacing w:line="276" w:lineRule="auto"/>
        <w:ind w:left="0" w:right="0"/>
        <w:rPr>
          <w:szCs w:val="26"/>
        </w:rPr>
      </w:pPr>
      <w:r w:rsidRPr="00722A05">
        <w:rPr>
          <w:szCs w:val="26"/>
        </w:rPr>
        <w:t xml:space="preserve">MOYENS DE DEFENSE DE L’HOTE CONTRE L’INFECTION URINAIRE </w:t>
      </w:r>
    </w:p>
    <w:p w:rsidR="00253078" w:rsidRDefault="00253078" w:rsidP="00253078">
      <w:pPr>
        <w:spacing w:line="276" w:lineRule="auto"/>
        <w:ind w:left="0" w:right="0"/>
      </w:pPr>
      <w:r>
        <w:t>–Flux urinaire permanent</w:t>
      </w:r>
    </w:p>
    <w:p w:rsidR="00253078" w:rsidRDefault="00253078" w:rsidP="00253078">
      <w:pPr>
        <w:spacing w:line="276" w:lineRule="auto"/>
        <w:ind w:left="0" w:right="0"/>
      </w:pPr>
      <w:r>
        <w:t xml:space="preserve">–Longueur de l’urètre </w:t>
      </w:r>
    </w:p>
    <w:p w:rsidR="00253078" w:rsidRDefault="00253078" w:rsidP="00253078">
      <w:pPr>
        <w:spacing w:line="276" w:lineRule="auto"/>
        <w:ind w:left="0" w:right="0"/>
      </w:pPr>
      <w:r>
        <w:t>–Fréquence des mictions</w:t>
      </w:r>
    </w:p>
    <w:p w:rsidR="00253078" w:rsidRDefault="00253078" w:rsidP="00253078">
      <w:pPr>
        <w:spacing w:line="276" w:lineRule="auto"/>
        <w:ind w:left="0" w:right="0"/>
      </w:pPr>
      <w:r>
        <w:t>–Présence de la protéine de Tamm-</w:t>
      </w:r>
      <w:proofErr w:type="spellStart"/>
      <w:r>
        <w:t>Horsfall</w:t>
      </w:r>
      <w:proofErr w:type="spellEnd"/>
      <w:r>
        <w:t xml:space="preserve"> : secrétée par le rein et améliore la clairance bactérienne lors des mictions </w:t>
      </w:r>
    </w:p>
    <w:p w:rsidR="00253078" w:rsidRDefault="00253078" w:rsidP="00253078">
      <w:pPr>
        <w:spacing w:line="276" w:lineRule="auto"/>
        <w:ind w:left="0" w:right="0"/>
      </w:pPr>
    </w:p>
    <w:p w:rsidR="00253078" w:rsidRPr="00722A05" w:rsidRDefault="00722A05" w:rsidP="00253078">
      <w:pPr>
        <w:pStyle w:val="Titre1"/>
        <w:shd w:val="clear" w:color="auto" w:fill="auto"/>
        <w:spacing w:line="276" w:lineRule="auto"/>
        <w:ind w:left="0" w:right="0"/>
        <w:rPr>
          <w:szCs w:val="26"/>
        </w:rPr>
      </w:pPr>
      <w:r w:rsidRPr="00722A05">
        <w:rPr>
          <w:szCs w:val="26"/>
        </w:rPr>
        <w:t xml:space="preserve">EPIDEMIOLOGIE </w:t>
      </w:r>
    </w:p>
    <w:p w:rsidR="00253078" w:rsidRDefault="00253078" w:rsidP="00253078">
      <w:pPr>
        <w:spacing w:line="276" w:lineRule="auto"/>
        <w:ind w:left="0" w:right="0"/>
      </w:pPr>
      <w:r>
        <w:t xml:space="preserve">La prévalence chez la femme est plus élevée que chez l’homme </w:t>
      </w:r>
    </w:p>
    <w:p w:rsidR="00253078" w:rsidRDefault="00253078" w:rsidP="00253078">
      <w:pPr>
        <w:spacing w:line="276" w:lineRule="auto"/>
        <w:ind w:left="0" w:right="0"/>
      </w:pPr>
      <w:r>
        <w:t xml:space="preserve">Elle augmente avec l’âge avec deux pics , l’un au début de l’activité sexuelle et l’autre est souvent à la période post ménopausique </w:t>
      </w:r>
    </w:p>
    <w:p w:rsidR="00253078" w:rsidRDefault="00253078" w:rsidP="00253078">
      <w:pPr>
        <w:spacing w:line="276" w:lineRule="auto"/>
        <w:ind w:left="0" w:right="0"/>
      </w:pPr>
      <w:r>
        <w:t>La grossesse est un facteur favorisant</w:t>
      </w:r>
    </w:p>
    <w:p w:rsidR="00253078" w:rsidRDefault="00253078" w:rsidP="00253078">
      <w:pPr>
        <w:spacing w:line="276" w:lineRule="auto"/>
        <w:ind w:left="0" w:right="0"/>
      </w:pPr>
      <w:r>
        <w:t>Chez l’enfant l’infection urinaire est souvent le témoin d’une malformation de l’appareil excréteur (en particulier chez le garçon)</w:t>
      </w:r>
    </w:p>
    <w:p w:rsidR="00253078" w:rsidRDefault="00253078" w:rsidP="00253078">
      <w:pPr>
        <w:spacing w:line="276" w:lineRule="auto"/>
        <w:ind w:left="0" w:right="0"/>
      </w:pPr>
      <w:r>
        <w:t xml:space="preserve">Chez l’homme , la fréquence augmente avec l’âge &gt;= 50 ans en relation avec la pathologie prostatique  </w:t>
      </w:r>
    </w:p>
    <w:p w:rsidR="00253078" w:rsidRDefault="00253078" w:rsidP="00253078">
      <w:pPr>
        <w:spacing w:line="276" w:lineRule="auto"/>
        <w:ind w:left="0" w:right="0"/>
      </w:pPr>
      <w:r>
        <w:t xml:space="preserve">C’est l’infection nosocomiale la plus fréquente </w:t>
      </w:r>
    </w:p>
    <w:p w:rsidR="00253078" w:rsidRPr="00722A05" w:rsidRDefault="00722A05" w:rsidP="00253078">
      <w:pPr>
        <w:pStyle w:val="Titre1"/>
        <w:shd w:val="clear" w:color="auto" w:fill="auto"/>
        <w:spacing w:line="276" w:lineRule="auto"/>
        <w:ind w:left="0" w:right="0"/>
        <w:rPr>
          <w:szCs w:val="26"/>
        </w:rPr>
      </w:pPr>
      <w:r w:rsidRPr="00722A05">
        <w:rPr>
          <w:szCs w:val="26"/>
        </w:rPr>
        <w:lastRenderedPageBreak/>
        <w:t xml:space="preserve">FACTEURS FAVORISANTS </w:t>
      </w:r>
    </w:p>
    <w:p w:rsidR="00253078" w:rsidRPr="00722A05" w:rsidRDefault="00253078" w:rsidP="00253078">
      <w:pPr>
        <w:pStyle w:val="Titre2"/>
        <w:spacing w:line="276" w:lineRule="auto"/>
      </w:pPr>
      <w:r w:rsidRPr="00722A05">
        <w:t>1) Facteurs liés à l’hôte:</w:t>
      </w:r>
    </w:p>
    <w:p w:rsidR="00253078" w:rsidRDefault="00253078" w:rsidP="00253078">
      <w:pPr>
        <w:spacing w:line="276" w:lineRule="auto"/>
        <w:ind w:left="0" w:right="0"/>
      </w:pPr>
      <w:r>
        <w:t xml:space="preserve">-Anomalies de l’appareil urinaire : Lithiase, sténoses urétérales ou urétrales , gène à l’écoulement urinaire (hypertrophie prostatique), reflux </w:t>
      </w:r>
      <w:proofErr w:type="spellStart"/>
      <w:r>
        <w:t>vésico</w:t>
      </w:r>
      <w:proofErr w:type="spellEnd"/>
      <w:r>
        <w:t xml:space="preserve">-urétral(enfant) , vidange incomplet de la vessie </w:t>
      </w:r>
    </w:p>
    <w:p w:rsidR="00253078" w:rsidRDefault="00253078" w:rsidP="00253078">
      <w:pPr>
        <w:spacing w:line="276" w:lineRule="auto"/>
        <w:ind w:left="0" w:right="0"/>
      </w:pPr>
      <w:r>
        <w:t>-Corps étranger intra vésicaux</w:t>
      </w:r>
    </w:p>
    <w:p w:rsidR="00253078" w:rsidRDefault="00253078" w:rsidP="00253078">
      <w:pPr>
        <w:spacing w:line="276" w:lineRule="auto"/>
        <w:ind w:left="0" w:right="0"/>
      </w:pPr>
      <w:r>
        <w:t xml:space="preserve">-Manœuvres iatrogènes </w:t>
      </w:r>
    </w:p>
    <w:p w:rsidR="00253078" w:rsidRDefault="00253078" w:rsidP="00253078">
      <w:pPr>
        <w:spacing w:line="276" w:lineRule="auto"/>
        <w:ind w:left="0" w:right="0"/>
      </w:pPr>
      <w:r>
        <w:t>-Rapports sexuels(rare)</w:t>
      </w:r>
    </w:p>
    <w:p w:rsidR="00253078" w:rsidRDefault="00253078" w:rsidP="00253078">
      <w:pPr>
        <w:spacing w:line="276" w:lineRule="auto"/>
        <w:ind w:left="0" w:right="0"/>
      </w:pPr>
      <w:r>
        <w:t xml:space="preserve">-Grossesse et ménopause par modification de la muqueuse vésicale </w:t>
      </w:r>
    </w:p>
    <w:p w:rsidR="00253078" w:rsidRDefault="00253078" w:rsidP="00253078">
      <w:pPr>
        <w:spacing w:line="276" w:lineRule="auto"/>
        <w:ind w:left="0" w:right="0"/>
      </w:pPr>
      <w:r>
        <w:t>- Certaines habitudes d’hygiène : vêtements moulants</w:t>
      </w:r>
    </w:p>
    <w:p w:rsidR="00253078" w:rsidRDefault="00253078" w:rsidP="00253078">
      <w:pPr>
        <w:spacing w:line="276" w:lineRule="auto"/>
        <w:ind w:left="0" w:right="0"/>
      </w:pPr>
      <w:r>
        <w:t>-Certains états pathologiques peuvent favoriser les infections urinaires (diabète en raison de la glycosurie)</w:t>
      </w:r>
    </w:p>
    <w:p w:rsidR="00722A05" w:rsidRDefault="00722A05" w:rsidP="00253078">
      <w:pPr>
        <w:spacing w:line="276" w:lineRule="auto"/>
        <w:ind w:left="0" w:right="0"/>
      </w:pPr>
    </w:p>
    <w:p w:rsidR="00253078" w:rsidRPr="00722A05" w:rsidRDefault="00722A05" w:rsidP="00253078">
      <w:pPr>
        <w:pStyle w:val="Titre2"/>
        <w:spacing w:line="276" w:lineRule="auto"/>
      </w:pPr>
      <w:r>
        <w:t xml:space="preserve">2) </w:t>
      </w:r>
      <w:r w:rsidR="00253078" w:rsidRPr="00722A05">
        <w:t xml:space="preserve">Facteurs liées à la bactérie </w:t>
      </w:r>
    </w:p>
    <w:p w:rsidR="00253078" w:rsidRDefault="00253078" w:rsidP="00253078">
      <w:pPr>
        <w:spacing w:line="276" w:lineRule="auto"/>
        <w:ind w:left="0" w:right="0"/>
      </w:pPr>
      <w:r>
        <w:t>-La virulence propre des bactéries liée à leur pouvoir de multiplication (</w:t>
      </w:r>
      <w:proofErr w:type="spellStart"/>
      <w:r>
        <w:t>Proteus</w:t>
      </w:r>
      <w:proofErr w:type="spellEnd"/>
      <w:r>
        <w:t xml:space="preserve"> </w:t>
      </w:r>
      <w:proofErr w:type="spellStart"/>
      <w:r>
        <w:t>uréase</w:t>
      </w:r>
      <w:proofErr w:type="spellEnd"/>
      <w:r>
        <w:t>+ alcalinise les urines , envahit rapidement car très mobile)</w:t>
      </w:r>
    </w:p>
    <w:p w:rsidR="00253078" w:rsidRDefault="00253078" w:rsidP="00253078">
      <w:pPr>
        <w:spacing w:line="276" w:lineRule="auto"/>
        <w:ind w:left="0" w:right="0"/>
      </w:pPr>
      <w:r>
        <w:t xml:space="preserve">-Les </w:t>
      </w:r>
      <w:r w:rsidR="00722A05">
        <w:t xml:space="preserve">andésines </w:t>
      </w:r>
      <w:proofErr w:type="spellStart"/>
      <w:r>
        <w:t>fimbriales</w:t>
      </w:r>
      <w:proofErr w:type="spellEnd"/>
    </w:p>
    <w:p w:rsidR="00253078" w:rsidRDefault="00253078" w:rsidP="00253078">
      <w:pPr>
        <w:spacing w:line="276" w:lineRule="auto"/>
        <w:ind w:left="0" w:right="0"/>
      </w:pPr>
      <w:r>
        <w:t xml:space="preserve">-La production d’hémolysine </w:t>
      </w:r>
    </w:p>
    <w:p w:rsidR="00253078" w:rsidRDefault="00253078" w:rsidP="00253078">
      <w:pPr>
        <w:spacing w:line="276" w:lineRule="auto"/>
        <w:ind w:left="0" w:right="0"/>
      </w:pPr>
    </w:p>
    <w:p w:rsidR="00253078" w:rsidRPr="00722A05" w:rsidRDefault="00722A05" w:rsidP="00253078">
      <w:pPr>
        <w:pStyle w:val="Titre1"/>
        <w:shd w:val="clear" w:color="auto" w:fill="auto"/>
        <w:spacing w:line="276" w:lineRule="auto"/>
        <w:ind w:left="0" w:right="0"/>
        <w:rPr>
          <w:szCs w:val="26"/>
        </w:rPr>
      </w:pPr>
      <w:r w:rsidRPr="00722A05">
        <w:rPr>
          <w:szCs w:val="26"/>
        </w:rPr>
        <w:t xml:space="preserve">PHYSIOPATHOLOGIE </w:t>
      </w:r>
    </w:p>
    <w:p w:rsidR="00253078" w:rsidRDefault="00253078" w:rsidP="00253078">
      <w:pPr>
        <w:spacing w:line="276" w:lineRule="auto"/>
        <w:ind w:left="0" w:right="0"/>
      </w:pPr>
      <w:r>
        <w:t>Le tractus urinaire est stérile à l’exception de :</w:t>
      </w:r>
    </w:p>
    <w:p w:rsidR="00253078" w:rsidRDefault="00253078" w:rsidP="00253078">
      <w:pPr>
        <w:spacing w:line="276" w:lineRule="auto"/>
        <w:ind w:left="0" w:right="0"/>
      </w:pPr>
      <w:r>
        <w:t>-Flore de quelques cm de l’urètre distal (Flore digestive : entérobactéries, streptocoques, anaérobies)</w:t>
      </w:r>
    </w:p>
    <w:p w:rsidR="00253078" w:rsidRDefault="00253078" w:rsidP="00253078">
      <w:pPr>
        <w:spacing w:line="276" w:lineRule="auto"/>
        <w:ind w:left="0" w:right="0"/>
      </w:pPr>
      <w:r>
        <w:t xml:space="preserve">-Flore cutanée (SCN, </w:t>
      </w:r>
      <w:proofErr w:type="spellStart"/>
      <w:r w:rsidRPr="00D421D5">
        <w:rPr>
          <w:i/>
          <w:iCs/>
          <w:color w:val="4F6228" w:themeColor="accent3" w:themeShade="80"/>
        </w:rPr>
        <w:t>corynébactéries</w:t>
      </w:r>
      <w:proofErr w:type="spellEnd"/>
      <w:r>
        <w:t>)</w:t>
      </w:r>
    </w:p>
    <w:p w:rsidR="00253078" w:rsidRDefault="00253078" w:rsidP="00253078">
      <w:pPr>
        <w:spacing w:line="276" w:lineRule="auto"/>
        <w:ind w:left="0" w:right="0"/>
      </w:pPr>
      <w:r>
        <w:t xml:space="preserve">-Flore génitale ( </w:t>
      </w:r>
      <w:r w:rsidRPr="00D421D5">
        <w:rPr>
          <w:i/>
          <w:iCs/>
          <w:color w:val="4F6228" w:themeColor="accent3" w:themeShade="80"/>
        </w:rPr>
        <w:t>lactobacille</w:t>
      </w:r>
      <w:r>
        <w:t xml:space="preserve"> chez la femme)</w:t>
      </w:r>
    </w:p>
    <w:p w:rsidR="00253078" w:rsidRPr="006E6815" w:rsidRDefault="00722A05" w:rsidP="00722A05">
      <w:pPr>
        <w:pStyle w:val="Titre2"/>
        <w:spacing w:line="360" w:lineRule="auto"/>
      </w:pPr>
      <w:r>
        <w:t xml:space="preserve">1) </w:t>
      </w:r>
      <w:r w:rsidR="00253078" w:rsidRPr="006E6815">
        <w:t>Infection par voie hématogène (rare)</w:t>
      </w:r>
    </w:p>
    <w:p w:rsidR="00253078" w:rsidRDefault="00253078" w:rsidP="00E438A8">
      <w:pPr>
        <w:spacing w:line="276" w:lineRule="auto"/>
        <w:ind w:left="0" w:right="0"/>
        <w:sectPr w:rsidR="00253078" w:rsidSect="00253078"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  <w:r>
        <w:t xml:space="preserve">Elle concerne essentiellement le staphylocoque et les </w:t>
      </w:r>
      <w:proofErr w:type="spellStart"/>
      <w:r>
        <w:t>les</w:t>
      </w:r>
      <w:proofErr w:type="spellEnd"/>
      <w:r>
        <w:t xml:space="preserve"> salmonelles et les bactéries nosocomiales che</w:t>
      </w:r>
      <w:r w:rsidR="00E438A8">
        <w:t xml:space="preserve">z le sujet immunodéprimé </w:t>
      </w:r>
      <w:r w:rsidR="00D421D5">
        <w:t>surtout</w:t>
      </w:r>
    </w:p>
    <w:p w:rsidR="00E438A8" w:rsidRDefault="00E438A8" w:rsidP="00253078">
      <w:pPr>
        <w:spacing w:line="276" w:lineRule="auto"/>
        <w:ind w:left="0" w:right="0"/>
      </w:pPr>
    </w:p>
    <w:tbl>
      <w:tblPr>
        <w:tblStyle w:val="Grilledutableau"/>
        <w:tblW w:w="15706" w:type="dxa"/>
        <w:jc w:val="center"/>
        <w:tblInd w:w="-4058" w:type="dxa"/>
        <w:tblLayout w:type="fixed"/>
        <w:tblLook w:val="04A0"/>
      </w:tblPr>
      <w:tblGrid>
        <w:gridCol w:w="1702"/>
        <w:gridCol w:w="3544"/>
        <w:gridCol w:w="7229"/>
        <w:gridCol w:w="3231"/>
      </w:tblGrid>
      <w:tr w:rsidR="00E438A8" w:rsidTr="00E438A8">
        <w:trPr>
          <w:jc w:val="center"/>
        </w:trPr>
        <w:tc>
          <w:tcPr>
            <w:tcW w:w="1702" w:type="dxa"/>
          </w:tcPr>
          <w:p w:rsidR="00E438A8" w:rsidRPr="00722A05" w:rsidRDefault="00E438A8" w:rsidP="00A93F46">
            <w:pPr>
              <w:spacing w:line="360" w:lineRule="auto"/>
              <w:ind w:left="0"/>
              <w:rPr>
                <w:b/>
                <w:bCs/>
                <w:sz w:val="24"/>
                <w:szCs w:val="24"/>
              </w:rPr>
            </w:pPr>
            <w:r w:rsidRPr="00722A05">
              <w:rPr>
                <w:b/>
                <w:bCs/>
                <w:sz w:val="24"/>
                <w:szCs w:val="24"/>
              </w:rPr>
              <w:t>Infection</w:t>
            </w:r>
          </w:p>
        </w:tc>
        <w:tc>
          <w:tcPr>
            <w:tcW w:w="3544" w:type="dxa"/>
          </w:tcPr>
          <w:p w:rsidR="00E438A8" w:rsidRPr="00FB351E" w:rsidRDefault="00E438A8" w:rsidP="00A93F46">
            <w:pPr>
              <w:pStyle w:val="Paragraphedeliste"/>
              <w:spacing w:line="360" w:lineRule="auto"/>
              <w:ind w:left="-120"/>
              <w:jc w:val="center"/>
              <w:rPr>
                <w:color w:val="006600"/>
                <w:sz w:val="28"/>
                <w:szCs w:val="28"/>
              </w:rPr>
            </w:pPr>
            <w:r w:rsidRPr="00FB351E">
              <w:rPr>
                <w:color w:val="006600"/>
                <w:sz w:val="28"/>
                <w:szCs w:val="28"/>
              </w:rPr>
              <w:t>2) Cystite</w:t>
            </w:r>
          </w:p>
        </w:tc>
        <w:tc>
          <w:tcPr>
            <w:tcW w:w="7229" w:type="dxa"/>
          </w:tcPr>
          <w:p w:rsidR="00E438A8" w:rsidRPr="00FB351E" w:rsidRDefault="00E438A8" w:rsidP="00A93F46">
            <w:pPr>
              <w:pStyle w:val="Paragraphedeliste"/>
              <w:spacing w:line="360" w:lineRule="auto"/>
              <w:ind w:left="-131"/>
              <w:jc w:val="center"/>
              <w:rPr>
                <w:color w:val="006600"/>
                <w:sz w:val="28"/>
                <w:szCs w:val="28"/>
              </w:rPr>
            </w:pPr>
            <w:r w:rsidRPr="00FB351E">
              <w:rPr>
                <w:color w:val="006600"/>
                <w:sz w:val="28"/>
                <w:szCs w:val="28"/>
              </w:rPr>
              <w:t>3) Pyélonéphrite</w:t>
            </w:r>
          </w:p>
        </w:tc>
        <w:tc>
          <w:tcPr>
            <w:tcW w:w="3231" w:type="dxa"/>
          </w:tcPr>
          <w:p w:rsidR="00E438A8" w:rsidRPr="00FB351E" w:rsidRDefault="00E438A8" w:rsidP="00A93F46">
            <w:pPr>
              <w:tabs>
                <w:tab w:val="left" w:pos="2019"/>
              </w:tabs>
              <w:spacing w:line="360" w:lineRule="auto"/>
              <w:ind w:left="0" w:right="-108"/>
              <w:jc w:val="center"/>
              <w:rPr>
                <w:color w:val="006600"/>
                <w:sz w:val="28"/>
                <w:szCs w:val="28"/>
              </w:rPr>
            </w:pPr>
            <w:r w:rsidRPr="00FB351E">
              <w:rPr>
                <w:color w:val="006600"/>
                <w:sz w:val="28"/>
                <w:szCs w:val="28"/>
              </w:rPr>
              <w:t>4) Colonisation Urinaire</w:t>
            </w:r>
          </w:p>
        </w:tc>
      </w:tr>
      <w:tr w:rsidR="00E438A8" w:rsidTr="00534DC1">
        <w:trPr>
          <w:cantSplit/>
          <w:trHeight w:val="2678"/>
          <w:jc w:val="center"/>
        </w:trPr>
        <w:tc>
          <w:tcPr>
            <w:tcW w:w="1702" w:type="dxa"/>
            <w:textDirection w:val="btLr"/>
          </w:tcPr>
          <w:p w:rsidR="00E438A8" w:rsidRPr="007A5190" w:rsidRDefault="00E438A8" w:rsidP="00534DC1">
            <w:pPr>
              <w:spacing w:line="360" w:lineRule="auto"/>
              <w:ind w:left="113" w:right="113"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 w:rsidRPr="007A5190">
              <w:rPr>
                <w:b/>
                <w:bCs/>
                <w:color w:val="0070C0"/>
                <w:sz w:val="24"/>
                <w:szCs w:val="24"/>
              </w:rPr>
              <w:t>Physiopathologie</w:t>
            </w:r>
          </w:p>
        </w:tc>
        <w:tc>
          <w:tcPr>
            <w:tcW w:w="3544" w:type="dxa"/>
          </w:tcPr>
          <w:p w:rsidR="00E438A8" w:rsidRDefault="00E438A8" w:rsidP="00A93F46">
            <w:pPr>
              <w:spacing w:line="360" w:lineRule="auto"/>
              <w:ind w:left="-52" w:right="-59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047875" cy="1714500"/>
                  <wp:effectExtent l="0" t="0" r="9525" b="0"/>
                  <wp:docPr id="10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815" cy="1719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9" w:type="dxa"/>
          </w:tcPr>
          <w:p w:rsidR="00E438A8" w:rsidRDefault="00E438A8" w:rsidP="00E438A8">
            <w:pPr>
              <w:tabs>
                <w:tab w:val="left" w:pos="2738"/>
              </w:tabs>
              <w:spacing w:line="360" w:lineRule="auto"/>
              <w:ind w:left="0" w:right="48"/>
              <w:jc w:val="center"/>
            </w:pPr>
            <w:r>
              <w:rPr>
                <w:noProof/>
                <w:lang w:eastAsia="fr-FR"/>
              </w:rPr>
              <w:drawing>
                <wp:inline distT="0" distB="0" distL="0" distR="0">
                  <wp:extent cx="2314575" cy="1782897"/>
                  <wp:effectExtent l="19050" t="0" r="9525" b="0"/>
                  <wp:docPr id="11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1295" cy="1788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1" w:type="dxa"/>
          </w:tcPr>
          <w:p w:rsidR="00E438A8" w:rsidRDefault="00E438A8" w:rsidP="00A93F46">
            <w:pPr>
              <w:spacing w:line="360" w:lineRule="auto"/>
              <w:ind w:left="0"/>
            </w:pPr>
          </w:p>
        </w:tc>
      </w:tr>
      <w:tr w:rsidR="00E438A8" w:rsidTr="00534DC1">
        <w:trPr>
          <w:cantSplit/>
          <w:trHeight w:val="1134"/>
          <w:jc w:val="center"/>
        </w:trPr>
        <w:tc>
          <w:tcPr>
            <w:tcW w:w="1702" w:type="dxa"/>
            <w:textDirection w:val="btLr"/>
          </w:tcPr>
          <w:p w:rsidR="00E438A8" w:rsidRPr="007A5190" w:rsidRDefault="00722A05" w:rsidP="00722A05">
            <w:pPr>
              <w:spacing w:line="360" w:lineRule="auto"/>
              <w:ind w:left="113"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 w:rsidRPr="007A5190">
              <w:rPr>
                <w:b/>
                <w:bCs/>
                <w:color w:val="0070C0"/>
                <w:sz w:val="24"/>
                <w:szCs w:val="24"/>
              </w:rPr>
              <w:t>Manifestation</w:t>
            </w:r>
            <w:r w:rsidR="00E438A8" w:rsidRPr="007A5190">
              <w:rPr>
                <w:b/>
                <w:bCs/>
                <w:color w:val="0070C0"/>
                <w:sz w:val="24"/>
                <w:szCs w:val="24"/>
              </w:rPr>
              <w:t xml:space="preserve"> clinique</w:t>
            </w:r>
          </w:p>
        </w:tc>
        <w:tc>
          <w:tcPr>
            <w:tcW w:w="3544" w:type="dxa"/>
          </w:tcPr>
          <w:p w:rsidR="00E438A8" w:rsidRPr="007A5190" w:rsidRDefault="00E438A8" w:rsidP="00A93F46">
            <w:pPr>
              <w:spacing w:line="276" w:lineRule="auto"/>
              <w:ind w:left="0"/>
              <w:rPr>
                <w:noProof/>
                <w:color w:val="00B0F0"/>
                <w:lang w:eastAsia="fr-FR"/>
              </w:rPr>
            </w:pPr>
            <w:r w:rsidRPr="007A5190">
              <w:rPr>
                <w:noProof/>
                <w:color w:val="00B0F0"/>
                <w:lang w:eastAsia="fr-FR"/>
              </w:rPr>
              <w:t>Cystite aigue :</w:t>
            </w:r>
          </w:p>
          <w:p w:rsidR="00E438A8" w:rsidRDefault="00E438A8" w:rsidP="00A93F46">
            <w:pPr>
              <w:spacing w:line="276" w:lineRule="auto"/>
              <w:ind w:left="0" w:right="-108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>Pollakiurie, brulures mictionelles et urines troubles . absence de fièvre</w:t>
            </w:r>
          </w:p>
          <w:p w:rsidR="00E438A8" w:rsidRPr="007A5190" w:rsidRDefault="00E438A8" w:rsidP="00A93F46">
            <w:pPr>
              <w:spacing w:line="276" w:lineRule="auto"/>
              <w:ind w:left="0" w:right="-108"/>
              <w:rPr>
                <w:noProof/>
                <w:color w:val="00B0F0"/>
                <w:lang w:eastAsia="fr-FR"/>
              </w:rPr>
            </w:pPr>
            <w:r w:rsidRPr="007A5190">
              <w:rPr>
                <w:noProof/>
                <w:color w:val="00B0F0"/>
                <w:lang w:eastAsia="fr-FR"/>
              </w:rPr>
              <w:t>Cystite récidivante :</w:t>
            </w:r>
          </w:p>
          <w:p w:rsidR="00E438A8" w:rsidRDefault="00E438A8" w:rsidP="00A93F46">
            <w:pPr>
              <w:spacing w:line="276" w:lineRule="auto"/>
              <w:ind w:left="0" w:right="-108"/>
            </w:pPr>
            <w:r>
              <w:rPr>
                <w:noProof/>
                <w:lang w:eastAsia="fr-FR"/>
              </w:rPr>
              <w:t xml:space="preserve">Au moins 4 épisodes de cystite aigue dans l’année , doivent faire l’objet de recherches étiologiques particulières  </w:t>
            </w:r>
          </w:p>
        </w:tc>
        <w:tc>
          <w:tcPr>
            <w:tcW w:w="7229" w:type="dxa"/>
          </w:tcPr>
          <w:p w:rsidR="00E438A8" w:rsidRDefault="00E438A8" w:rsidP="00A93F46">
            <w:pPr>
              <w:tabs>
                <w:tab w:val="left" w:pos="2902"/>
              </w:tabs>
              <w:spacing w:line="276" w:lineRule="auto"/>
              <w:ind w:left="0" w:right="33"/>
            </w:pPr>
            <w:r>
              <w:t xml:space="preserve">Douleurs rénales unilatérales + fièvre + frissons </w:t>
            </w:r>
          </w:p>
          <w:p w:rsidR="00E438A8" w:rsidRDefault="00E438A8" w:rsidP="00A93F46">
            <w:pPr>
              <w:tabs>
                <w:tab w:val="left" w:pos="2902"/>
              </w:tabs>
              <w:spacing w:line="276" w:lineRule="auto"/>
              <w:ind w:left="0" w:right="33"/>
            </w:pPr>
            <w:r>
              <w:t xml:space="preserve">Peut </w:t>
            </w:r>
            <w:proofErr w:type="spellStart"/>
            <w:r>
              <w:t>etreprécedee</w:t>
            </w:r>
            <w:proofErr w:type="spellEnd"/>
            <w:r>
              <w:t xml:space="preserve"> de brulures </w:t>
            </w:r>
            <w:r w:rsidR="007A5190">
              <w:t>mictionnelles</w:t>
            </w:r>
            <w:r>
              <w:t xml:space="preserve"> et de </w:t>
            </w:r>
            <w:r w:rsidR="007A5190">
              <w:t>pollakiurie</w:t>
            </w:r>
            <w:r>
              <w:t xml:space="preserve">, mais elles sont inconstantes, et 30 à 40% des femmes atteintes ne se plaignent auparavant d’aucun signe de cystite </w:t>
            </w:r>
          </w:p>
        </w:tc>
        <w:tc>
          <w:tcPr>
            <w:tcW w:w="3231" w:type="dxa"/>
          </w:tcPr>
          <w:p w:rsidR="00E438A8" w:rsidRDefault="00E438A8" w:rsidP="00A93F46">
            <w:pPr>
              <w:spacing w:line="360" w:lineRule="auto"/>
              <w:ind w:left="0" w:right="-108"/>
            </w:pPr>
            <w:r>
              <w:t>= bactériurie asymptomatique : présence d’un microorganisme dans les urines sans signes cliniques associés</w:t>
            </w:r>
          </w:p>
        </w:tc>
      </w:tr>
      <w:tr w:rsidR="00E438A8" w:rsidTr="00534DC1">
        <w:trPr>
          <w:cantSplit/>
          <w:trHeight w:val="1134"/>
          <w:jc w:val="center"/>
        </w:trPr>
        <w:tc>
          <w:tcPr>
            <w:tcW w:w="1702" w:type="dxa"/>
            <w:textDirection w:val="btLr"/>
          </w:tcPr>
          <w:p w:rsidR="00E438A8" w:rsidRPr="007A5190" w:rsidRDefault="00E438A8" w:rsidP="00534DC1">
            <w:pPr>
              <w:spacing w:line="360" w:lineRule="auto"/>
              <w:ind w:left="113"/>
              <w:jc w:val="center"/>
              <w:rPr>
                <w:b/>
                <w:bCs/>
                <w:color w:val="0070C0"/>
                <w:sz w:val="24"/>
                <w:szCs w:val="24"/>
              </w:rPr>
            </w:pPr>
            <w:r w:rsidRPr="007A5190">
              <w:rPr>
                <w:b/>
                <w:bCs/>
                <w:color w:val="0070C0"/>
                <w:sz w:val="24"/>
                <w:szCs w:val="24"/>
              </w:rPr>
              <w:t>Traitement</w:t>
            </w:r>
          </w:p>
        </w:tc>
        <w:tc>
          <w:tcPr>
            <w:tcW w:w="3544" w:type="dxa"/>
          </w:tcPr>
          <w:p w:rsidR="00E438A8" w:rsidRDefault="00E438A8" w:rsidP="00A93F46">
            <w:pPr>
              <w:tabs>
                <w:tab w:val="left" w:pos="3282"/>
              </w:tabs>
              <w:spacing w:line="276" w:lineRule="auto"/>
              <w:ind w:left="0" w:right="34"/>
            </w:pPr>
            <w:r>
              <w:t xml:space="preserve">Pour les Cystites simples </w:t>
            </w:r>
          </w:p>
          <w:p w:rsidR="00E438A8" w:rsidRPr="007A5190" w:rsidRDefault="00E438A8" w:rsidP="00A93F46">
            <w:pPr>
              <w:tabs>
                <w:tab w:val="left" w:pos="3282"/>
              </w:tabs>
              <w:spacing w:line="276" w:lineRule="auto"/>
              <w:ind w:left="0" w:right="34"/>
              <w:rPr>
                <w:color w:val="00B0F0"/>
              </w:rPr>
            </w:pPr>
            <w:r w:rsidRPr="007A5190">
              <w:rPr>
                <w:color w:val="00B0F0"/>
              </w:rPr>
              <w:t>1</w:t>
            </w:r>
            <w:r w:rsidRPr="007A5190">
              <w:rPr>
                <w:color w:val="00B0F0"/>
                <w:vertAlign w:val="superscript"/>
              </w:rPr>
              <w:t>ère</w:t>
            </w:r>
            <w:r w:rsidRPr="007A5190">
              <w:rPr>
                <w:color w:val="00B0F0"/>
              </w:rPr>
              <w:t xml:space="preserve"> intention :</w:t>
            </w:r>
          </w:p>
          <w:p w:rsidR="00E438A8" w:rsidRDefault="00E438A8" w:rsidP="00A93F46">
            <w:pPr>
              <w:tabs>
                <w:tab w:val="left" w:pos="3282"/>
              </w:tabs>
              <w:spacing w:line="276" w:lineRule="auto"/>
              <w:ind w:left="0" w:right="34"/>
            </w:pPr>
            <w:r>
              <w:t>-</w:t>
            </w:r>
            <w:proofErr w:type="spellStart"/>
            <w:r w:rsidRPr="007A5190">
              <w:rPr>
                <w:color w:val="F79646" w:themeColor="accent6"/>
              </w:rPr>
              <w:t>Fosfomycine</w:t>
            </w:r>
            <w:proofErr w:type="spellEnd"/>
            <w:r w:rsidRPr="007A5190">
              <w:rPr>
                <w:color w:val="F79646" w:themeColor="accent6"/>
              </w:rPr>
              <w:t xml:space="preserve"> </w:t>
            </w:r>
            <w:proofErr w:type="spellStart"/>
            <w:r w:rsidRPr="007A5190">
              <w:rPr>
                <w:color w:val="F79646" w:themeColor="accent6"/>
              </w:rPr>
              <w:t>trométamol</w:t>
            </w:r>
            <w:proofErr w:type="spellEnd"/>
            <w:r w:rsidRPr="007A5190">
              <w:rPr>
                <w:color w:val="F79646" w:themeColor="accent6"/>
              </w:rPr>
              <w:t xml:space="preserve"> ,</w:t>
            </w:r>
            <w:r>
              <w:t xml:space="preserve"> en dose unique </w:t>
            </w:r>
          </w:p>
          <w:p w:rsidR="00E438A8" w:rsidRPr="007A5190" w:rsidRDefault="00E438A8" w:rsidP="00A93F46">
            <w:pPr>
              <w:tabs>
                <w:tab w:val="left" w:pos="3282"/>
              </w:tabs>
              <w:spacing w:line="276" w:lineRule="auto"/>
              <w:ind w:left="0" w:right="34"/>
              <w:rPr>
                <w:color w:val="00B0F0"/>
              </w:rPr>
            </w:pPr>
            <w:r w:rsidRPr="007A5190">
              <w:rPr>
                <w:color w:val="00B0F0"/>
              </w:rPr>
              <w:t>2</w:t>
            </w:r>
            <w:r w:rsidRPr="007A5190">
              <w:rPr>
                <w:color w:val="00B0F0"/>
                <w:vertAlign w:val="superscript"/>
              </w:rPr>
              <w:t>ème</w:t>
            </w:r>
            <w:r w:rsidRPr="007A5190">
              <w:rPr>
                <w:color w:val="00B0F0"/>
              </w:rPr>
              <w:t xml:space="preserve"> intention : </w:t>
            </w:r>
          </w:p>
          <w:p w:rsidR="00E438A8" w:rsidRDefault="00E438A8" w:rsidP="00A93F46">
            <w:pPr>
              <w:tabs>
                <w:tab w:val="left" w:pos="3282"/>
              </w:tabs>
              <w:spacing w:line="276" w:lineRule="auto"/>
              <w:ind w:left="0" w:right="34"/>
            </w:pPr>
            <w:r>
              <w:t>-</w:t>
            </w:r>
            <w:proofErr w:type="spellStart"/>
            <w:r w:rsidRPr="007A5190">
              <w:rPr>
                <w:color w:val="F79646" w:themeColor="accent6"/>
              </w:rPr>
              <w:t>nitrofurantoine</w:t>
            </w:r>
            <w:proofErr w:type="spellEnd"/>
            <w:r>
              <w:t xml:space="preserve">, pendant 5 jours </w:t>
            </w:r>
          </w:p>
          <w:p w:rsidR="00E438A8" w:rsidRDefault="007A5190" w:rsidP="00A93F46">
            <w:pPr>
              <w:tabs>
                <w:tab w:val="left" w:pos="3282"/>
              </w:tabs>
              <w:spacing w:line="276" w:lineRule="auto"/>
              <w:ind w:left="0" w:right="34"/>
            </w:pPr>
            <w:r>
              <w:t>-</w:t>
            </w:r>
            <w:proofErr w:type="spellStart"/>
            <w:r>
              <w:t>Fluoroquinolone</w:t>
            </w:r>
            <w:proofErr w:type="spellEnd"/>
            <w:r>
              <w:t xml:space="preserve"> (</w:t>
            </w:r>
            <w:proofErr w:type="spellStart"/>
            <w:r w:rsidR="00E438A8" w:rsidRPr="007A5190">
              <w:rPr>
                <w:color w:val="F79646" w:themeColor="accent6"/>
              </w:rPr>
              <w:t>ciprofloxacine</w:t>
            </w:r>
            <w:proofErr w:type="spellEnd"/>
            <w:r>
              <w:rPr>
                <w:color w:val="F79646" w:themeColor="accent6"/>
              </w:rPr>
              <w:t xml:space="preserve"> </w:t>
            </w:r>
            <w:r w:rsidR="00E438A8" w:rsidRPr="007A5190">
              <w:rPr>
                <w:color w:val="F79646" w:themeColor="accent6"/>
              </w:rPr>
              <w:t>,</w:t>
            </w:r>
            <w:proofErr w:type="spellStart"/>
            <w:r w:rsidR="00E438A8" w:rsidRPr="007A5190">
              <w:rPr>
                <w:color w:val="F79646" w:themeColor="accent6"/>
              </w:rPr>
              <w:t>ofloxacine</w:t>
            </w:r>
            <w:proofErr w:type="spellEnd"/>
            <w:r w:rsidR="00E438A8">
              <w:t xml:space="preserve">) en dose unique ou pendant 3 jours  </w:t>
            </w:r>
          </w:p>
        </w:tc>
        <w:tc>
          <w:tcPr>
            <w:tcW w:w="7229" w:type="dxa"/>
          </w:tcPr>
          <w:p w:rsidR="00E438A8" w:rsidRDefault="00E438A8" w:rsidP="00A93F46">
            <w:pPr>
              <w:spacing w:line="276" w:lineRule="auto"/>
              <w:ind w:left="0" w:right="-108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>*Infections urinaires hautes :</w:t>
            </w:r>
          </w:p>
          <w:p w:rsidR="00E438A8" w:rsidRDefault="00E438A8" w:rsidP="00A93F46">
            <w:pPr>
              <w:spacing w:line="276" w:lineRule="auto"/>
              <w:ind w:left="0" w:right="-108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 xml:space="preserve">-ATB bactéricides ayant de fortes CC intrarénales et urinaires </w:t>
            </w:r>
          </w:p>
          <w:p w:rsidR="00E438A8" w:rsidRDefault="00E438A8" w:rsidP="00A93F46">
            <w:pPr>
              <w:spacing w:line="276" w:lineRule="auto"/>
              <w:ind w:left="0" w:right="-108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 xml:space="preserve">-C3G parentérale ou </w:t>
            </w:r>
            <w:r w:rsidRPr="007A5190">
              <w:rPr>
                <w:noProof/>
                <w:color w:val="F79646" w:themeColor="accent6"/>
                <w:lang w:eastAsia="fr-FR"/>
              </w:rPr>
              <w:t>fluoroquinolone</w:t>
            </w:r>
            <w:r>
              <w:rPr>
                <w:noProof/>
                <w:lang w:eastAsia="fr-FR"/>
              </w:rPr>
              <w:t xml:space="preserve"> à bonne diffusion systémique et bonne tolérance  </w:t>
            </w:r>
          </w:p>
          <w:p w:rsidR="00E438A8" w:rsidRPr="007A5190" w:rsidRDefault="00E438A8" w:rsidP="00A93F46">
            <w:pPr>
              <w:spacing w:line="276" w:lineRule="auto"/>
              <w:ind w:left="0" w:right="-108"/>
              <w:rPr>
                <w:noProof/>
                <w:color w:val="00B0F0"/>
                <w:lang w:eastAsia="fr-FR"/>
              </w:rPr>
            </w:pPr>
            <w:r w:rsidRPr="007A5190">
              <w:rPr>
                <w:noProof/>
                <w:color w:val="00B0F0"/>
                <w:lang w:eastAsia="fr-FR"/>
              </w:rPr>
              <w:t>*1</w:t>
            </w:r>
            <w:r w:rsidRPr="007A5190">
              <w:rPr>
                <w:noProof/>
                <w:color w:val="00B0F0"/>
                <w:vertAlign w:val="superscript"/>
                <w:lang w:eastAsia="fr-FR"/>
              </w:rPr>
              <w:t>ère</w:t>
            </w:r>
            <w:r w:rsidRPr="007A5190">
              <w:rPr>
                <w:noProof/>
                <w:color w:val="00B0F0"/>
                <w:lang w:eastAsia="fr-FR"/>
              </w:rPr>
              <w:t xml:space="preserve"> intention : </w:t>
            </w:r>
          </w:p>
          <w:p w:rsidR="00E438A8" w:rsidRDefault="00E438A8" w:rsidP="00A93F46">
            <w:pPr>
              <w:spacing w:line="276" w:lineRule="auto"/>
              <w:ind w:left="0" w:right="-108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>-Fluoroquinolones ou à défaut le TMP-SMX</w:t>
            </w:r>
          </w:p>
          <w:p w:rsidR="00E438A8" w:rsidRDefault="00E438A8" w:rsidP="00A93F46">
            <w:pPr>
              <w:spacing w:line="276" w:lineRule="auto"/>
              <w:ind w:left="0" w:right="-108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 xml:space="preserve">-Association </w:t>
            </w:r>
            <w:r w:rsidRPr="007A5190">
              <w:rPr>
                <w:noProof/>
                <w:color w:val="F79646" w:themeColor="accent6"/>
                <w:lang w:eastAsia="fr-FR"/>
              </w:rPr>
              <w:t>B-lactamine+inhibiteur de B-lactamase et les C3G</w:t>
            </w:r>
            <w:r>
              <w:rPr>
                <w:noProof/>
                <w:lang w:eastAsia="fr-FR"/>
              </w:rPr>
              <w:t xml:space="preserve"> parentérales </w:t>
            </w:r>
          </w:p>
          <w:p w:rsidR="00E438A8" w:rsidRPr="007A5190" w:rsidRDefault="00E438A8" w:rsidP="00A93F46">
            <w:pPr>
              <w:spacing w:line="276" w:lineRule="auto"/>
              <w:ind w:left="0" w:right="-108"/>
              <w:rPr>
                <w:noProof/>
                <w:color w:val="00B0F0"/>
                <w:lang w:eastAsia="fr-FR"/>
              </w:rPr>
            </w:pPr>
            <w:r w:rsidRPr="007A5190">
              <w:rPr>
                <w:noProof/>
                <w:color w:val="00B0F0"/>
                <w:lang w:eastAsia="fr-FR"/>
              </w:rPr>
              <w:t>*2</w:t>
            </w:r>
            <w:r w:rsidRPr="007A5190">
              <w:rPr>
                <w:noProof/>
                <w:color w:val="00B0F0"/>
                <w:vertAlign w:val="superscript"/>
                <w:lang w:eastAsia="fr-FR"/>
              </w:rPr>
              <w:t>ème</w:t>
            </w:r>
            <w:r w:rsidRPr="007A5190">
              <w:rPr>
                <w:noProof/>
                <w:color w:val="00B0F0"/>
                <w:lang w:eastAsia="fr-FR"/>
              </w:rPr>
              <w:t xml:space="preserve"> intention :</w:t>
            </w:r>
          </w:p>
          <w:p w:rsidR="00E438A8" w:rsidRDefault="00E438A8" w:rsidP="00A93F46">
            <w:pPr>
              <w:spacing w:line="276" w:lineRule="auto"/>
              <w:ind w:left="0" w:right="-108"/>
              <w:rPr>
                <w:noProof/>
                <w:lang w:eastAsia="fr-FR"/>
              </w:rPr>
            </w:pPr>
            <w:r>
              <w:rPr>
                <w:noProof/>
                <w:lang w:eastAsia="fr-FR"/>
              </w:rPr>
              <w:t>- La monothérapie d’</w:t>
            </w:r>
            <w:r w:rsidRPr="007A5190">
              <w:rPr>
                <w:noProof/>
                <w:color w:val="F79646" w:themeColor="accent6"/>
                <w:lang w:eastAsia="fr-FR"/>
              </w:rPr>
              <w:t>aminoside</w:t>
            </w:r>
            <w:r>
              <w:rPr>
                <w:noProof/>
                <w:lang w:eastAsia="fr-FR"/>
              </w:rPr>
              <w:t> :La plus éfficace</w:t>
            </w:r>
          </w:p>
          <w:p w:rsidR="00E438A8" w:rsidRDefault="00E438A8" w:rsidP="00A93F46">
            <w:pPr>
              <w:spacing w:line="276" w:lineRule="auto"/>
              <w:ind w:left="0" w:right="-108"/>
            </w:pPr>
            <w:r>
              <w:t xml:space="preserve">-Les </w:t>
            </w:r>
            <w:proofErr w:type="spellStart"/>
            <w:r w:rsidRPr="007A5190">
              <w:rPr>
                <w:color w:val="F79646" w:themeColor="accent6"/>
              </w:rPr>
              <w:t>carbapénèmes</w:t>
            </w:r>
            <w:proofErr w:type="spellEnd"/>
            <w:r w:rsidRPr="007A5190">
              <w:rPr>
                <w:color w:val="F79646" w:themeColor="accent6"/>
              </w:rPr>
              <w:t xml:space="preserve"> </w:t>
            </w:r>
            <w:r>
              <w:t xml:space="preserve">doivent </w:t>
            </w:r>
            <w:proofErr w:type="spellStart"/>
            <w:r>
              <w:t>etre</w:t>
            </w:r>
            <w:proofErr w:type="spellEnd"/>
            <w:r>
              <w:t xml:space="preserve"> réserves aux </w:t>
            </w:r>
            <w:proofErr w:type="spellStart"/>
            <w:r>
              <w:t>sitiuations</w:t>
            </w:r>
            <w:proofErr w:type="spellEnd"/>
            <w:r>
              <w:t xml:space="preserve"> où il n’existe aucune alternative ; l’</w:t>
            </w:r>
            <w:proofErr w:type="spellStart"/>
            <w:r w:rsidRPr="007A5190">
              <w:rPr>
                <w:color w:val="F79646" w:themeColor="accent6"/>
              </w:rPr>
              <w:t>Imipénème</w:t>
            </w:r>
            <w:proofErr w:type="spellEnd"/>
            <w:r>
              <w:t xml:space="preserve"> et le </w:t>
            </w:r>
            <w:proofErr w:type="spellStart"/>
            <w:r w:rsidRPr="007A5190">
              <w:rPr>
                <w:color w:val="F79646" w:themeColor="accent6"/>
              </w:rPr>
              <w:t>méropénème</w:t>
            </w:r>
            <w:proofErr w:type="spellEnd"/>
            <w:r>
              <w:t xml:space="preserve"> sont utilisables en </w:t>
            </w:r>
            <w:proofErr w:type="spellStart"/>
            <w:r>
              <w:t>ttt</w:t>
            </w:r>
            <w:proofErr w:type="spellEnd"/>
            <w:r>
              <w:t xml:space="preserve"> d’attaque </w:t>
            </w:r>
          </w:p>
          <w:p w:rsidR="00E438A8" w:rsidRDefault="00E438A8" w:rsidP="00A93F46">
            <w:pPr>
              <w:spacing w:line="276" w:lineRule="auto"/>
              <w:ind w:left="0" w:right="-108"/>
            </w:pPr>
            <w:r>
              <w:t>Sinon l’</w:t>
            </w:r>
            <w:proofErr w:type="spellStart"/>
            <w:r w:rsidRPr="007A5190">
              <w:rPr>
                <w:color w:val="F79646" w:themeColor="accent6"/>
              </w:rPr>
              <w:t>étrapénème</w:t>
            </w:r>
            <w:proofErr w:type="spellEnd"/>
            <w:r>
              <w:t xml:space="preserve"> (pas d’AMM) est privilégié en </w:t>
            </w:r>
            <w:proofErr w:type="spellStart"/>
            <w:r>
              <w:t>ttt</w:t>
            </w:r>
            <w:proofErr w:type="spellEnd"/>
            <w:r>
              <w:t xml:space="preserve"> de relais car administration facilitée </w:t>
            </w:r>
          </w:p>
        </w:tc>
        <w:tc>
          <w:tcPr>
            <w:tcW w:w="3231" w:type="dxa"/>
          </w:tcPr>
          <w:p w:rsidR="00E438A8" w:rsidRDefault="00E438A8" w:rsidP="00A93F46">
            <w:pPr>
              <w:spacing w:line="360" w:lineRule="auto"/>
              <w:ind w:left="0"/>
            </w:pPr>
            <w:r>
              <w:t>On la traite dans 2 cas :</w:t>
            </w:r>
          </w:p>
          <w:p w:rsidR="00E438A8" w:rsidRDefault="00E438A8" w:rsidP="00A93F46">
            <w:pPr>
              <w:spacing w:line="360" w:lineRule="auto"/>
              <w:ind w:left="0" w:right="-108"/>
            </w:pPr>
            <w:r>
              <w:t xml:space="preserve">-Avant une procédure urologique invasive programmée </w:t>
            </w:r>
          </w:p>
          <w:p w:rsidR="00E438A8" w:rsidRDefault="00E438A8" w:rsidP="00A93F46">
            <w:pPr>
              <w:spacing w:line="360" w:lineRule="auto"/>
              <w:ind w:left="0" w:right="-108"/>
            </w:pPr>
            <w:r>
              <w:t xml:space="preserve">-Grossesse à partir du 4éme mois </w:t>
            </w:r>
          </w:p>
          <w:p w:rsidR="007A5190" w:rsidRDefault="00E438A8" w:rsidP="007A5190">
            <w:pPr>
              <w:spacing w:line="360" w:lineRule="auto"/>
              <w:ind w:left="0" w:right="-108"/>
            </w:pPr>
            <w:r>
              <w:sym w:font="Wingdings" w:char="F0E0"/>
            </w:r>
            <w:proofErr w:type="spellStart"/>
            <w:r w:rsidRPr="007A5190">
              <w:rPr>
                <w:color w:val="F79646" w:themeColor="accent6"/>
              </w:rPr>
              <w:t>Amox</w:t>
            </w:r>
            <w:proofErr w:type="spellEnd"/>
          </w:p>
          <w:p w:rsidR="007A5190" w:rsidRPr="007A5190" w:rsidRDefault="00E438A8" w:rsidP="007A5190">
            <w:pPr>
              <w:spacing w:line="360" w:lineRule="auto"/>
              <w:ind w:left="0" w:right="-108"/>
              <w:rPr>
                <w:color w:val="F79646" w:themeColor="accent6"/>
              </w:rPr>
            </w:pPr>
            <w:r>
              <w:t xml:space="preserve">ou </w:t>
            </w:r>
            <w:proofErr w:type="spellStart"/>
            <w:r w:rsidRPr="007A5190">
              <w:rPr>
                <w:color w:val="F79646" w:themeColor="accent6"/>
              </w:rPr>
              <w:t>Amox</w:t>
            </w:r>
            <w:proofErr w:type="spellEnd"/>
            <w:r>
              <w:t>+</w:t>
            </w:r>
            <w:r w:rsidRPr="007A5190">
              <w:rPr>
                <w:color w:val="F79646" w:themeColor="accent6"/>
              </w:rPr>
              <w:t>Acide</w:t>
            </w:r>
            <w:r w:rsidR="007A5190" w:rsidRPr="007A5190">
              <w:rPr>
                <w:color w:val="F79646" w:themeColor="accent6"/>
              </w:rPr>
              <w:t xml:space="preserve"> </w:t>
            </w:r>
            <w:proofErr w:type="spellStart"/>
            <w:r w:rsidRPr="007A5190">
              <w:rPr>
                <w:color w:val="F79646" w:themeColor="accent6"/>
              </w:rPr>
              <w:t>calvulanique</w:t>
            </w:r>
            <w:proofErr w:type="spellEnd"/>
            <w:r w:rsidRPr="007A5190">
              <w:rPr>
                <w:color w:val="F79646" w:themeColor="accent6"/>
              </w:rPr>
              <w:t xml:space="preserve"> </w:t>
            </w:r>
          </w:p>
          <w:p w:rsidR="007A5190" w:rsidRDefault="00E438A8" w:rsidP="007A5190">
            <w:pPr>
              <w:spacing w:line="360" w:lineRule="auto"/>
              <w:ind w:left="0" w:right="-108"/>
            </w:pPr>
            <w:r>
              <w:t xml:space="preserve">ou </w:t>
            </w:r>
            <w:proofErr w:type="spellStart"/>
            <w:r w:rsidRPr="007A5190">
              <w:rPr>
                <w:color w:val="F79646" w:themeColor="accent6"/>
              </w:rPr>
              <w:t>Céfixime</w:t>
            </w:r>
            <w:proofErr w:type="spellEnd"/>
            <w:r w:rsidRPr="007A5190">
              <w:rPr>
                <w:color w:val="F79646" w:themeColor="accent6"/>
              </w:rPr>
              <w:t xml:space="preserve"> </w:t>
            </w:r>
          </w:p>
          <w:p w:rsidR="00E438A8" w:rsidRDefault="00E438A8" w:rsidP="007A5190">
            <w:pPr>
              <w:spacing w:line="360" w:lineRule="auto"/>
              <w:ind w:left="0" w:right="-108"/>
            </w:pPr>
            <w:r>
              <w:t xml:space="preserve">ou </w:t>
            </w:r>
            <w:proofErr w:type="spellStart"/>
            <w:r w:rsidRPr="007A5190">
              <w:rPr>
                <w:color w:val="F79646" w:themeColor="accent6"/>
              </w:rPr>
              <w:t>nitrofurantoine</w:t>
            </w:r>
            <w:proofErr w:type="spellEnd"/>
          </w:p>
          <w:p w:rsidR="00E438A8" w:rsidRDefault="00E438A8" w:rsidP="00A93F46">
            <w:pPr>
              <w:spacing w:line="360" w:lineRule="auto"/>
              <w:ind w:left="0" w:right="-108"/>
            </w:pPr>
            <w:r>
              <w:t xml:space="preserve">Durée : 5jours sauf pour </w:t>
            </w:r>
            <w:r w:rsidR="007A5190">
              <w:t xml:space="preserve">    </w:t>
            </w:r>
            <w:proofErr w:type="spellStart"/>
            <w:r w:rsidRPr="007A5190">
              <w:rPr>
                <w:color w:val="F79646" w:themeColor="accent6"/>
              </w:rPr>
              <w:t>nitrofurantoine</w:t>
            </w:r>
            <w:proofErr w:type="spellEnd"/>
            <w:r>
              <w:t xml:space="preserve"> 7jours </w:t>
            </w:r>
          </w:p>
        </w:tc>
      </w:tr>
    </w:tbl>
    <w:p w:rsidR="00534DC1" w:rsidRDefault="00534DC1" w:rsidP="00E438A8">
      <w:pPr>
        <w:spacing w:line="276" w:lineRule="auto"/>
        <w:ind w:left="0" w:right="0"/>
        <w:jc w:val="center"/>
        <w:sectPr w:rsidR="00534DC1" w:rsidSect="00E438A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534DC1" w:rsidRPr="006E6815" w:rsidRDefault="00534DC1" w:rsidP="00534DC1">
      <w:pPr>
        <w:pStyle w:val="Titre1"/>
      </w:pPr>
      <w:r w:rsidRPr="006E6815">
        <w:lastRenderedPageBreak/>
        <w:t xml:space="preserve">Prophylaxie </w:t>
      </w:r>
    </w:p>
    <w:p w:rsidR="00534DC1" w:rsidRDefault="00534DC1" w:rsidP="00534DC1">
      <w:pPr>
        <w:spacing w:line="276" w:lineRule="auto"/>
        <w:ind w:left="0" w:right="0"/>
      </w:pPr>
      <w:r>
        <w:t>-Apports hydrique suffisant</w:t>
      </w:r>
    </w:p>
    <w:p w:rsidR="00534DC1" w:rsidRDefault="00534DC1" w:rsidP="00534DC1">
      <w:pPr>
        <w:spacing w:line="276" w:lineRule="auto"/>
        <w:ind w:left="0" w:right="0"/>
      </w:pPr>
      <w:r>
        <w:t>-Mictions non retenues</w:t>
      </w:r>
    </w:p>
    <w:p w:rsidR="00534DC1" w:rsidRDefault="00534DC1" w:rsidP="00534DC1">
      <w:pPr>
        <w:spacing w:line="276" w:lineRule="auto"/>
        <w:ind w:left="0" w:right="0"/>
      </w:pPr>
      <w:r>
        <w:t>-Régulations du transit intestinal</w:t>
      </w:r>
    </w:p>
    <w:p w:rsidR="00534DC1" w:rsidRDefault="00534DC1" w:rsidP="00534DC1">
      <w:pPr>
        <w:spacing w:line="276" w:lineRule="auto"/>
        <w:ind w:left="0" w:right="0"/>
      </w:pPr>
      <w:r>
        <w:t xml:space="preserve">-S’essuyer d’avant en arrière </w:t>
      </w:r>
    </w:p>
    <w:p w:rsidR="00534DC1" w:rsidRPr="007A5190" w:rsidRDefault="00534DC1" w:rsidP="00534DC1">
      <w:pPr>
        <w:spacing w:line="276" w:lineRule="auto"/>
        <w:ind w:left="0" w:right="0"/>
        <w:rPr>
          <w:u w:val="single"/>
        </w:rPr>
      </w:pPr>
      <w:r w:rsidRPr="007A5190">
        <w:rPr>
          <w:u w:val="single"/>
        </w:rPr>
        <w:t>Remarque :</w:t>
      </w:r>
    </w:p>
    <w:p w:rsidR="00534DC1" w:rsidRDefault="00534DC1" w:rsidP="00534DC1">
      <w:pPr>
        <w:spacing w:line="276" w:lineRule="auto"/>
        <w:ind w:left="0" w:right="0"/>
      </w:pPr>
      <w:r>
        <w:t>-Les infections urinaires basses subissent des traitements courts avec des ATB à élimination urinaire prolongée</w:t>
      </w:r>
    </w:p>
    <w:p w:rsidR="00534DC1" w:rsidRDefault="00534DC1" w:rsidP="00534DC1">
      <w:pPr>
        <w:spacing w:line="276" w:lineRule="auto"/>
        <w:ind w:left="0" w:right="0"/>
      </w:pPr>
      <w:r>
        <w:t>-Pour les cystites simple , les ATB utilisables sont ceux dont le taux de résistance est &lt;20% dans la population cible</w:t>
      </w:r>
    </w:p>
    <w:p w:rsidR="00534DC1" w:rsidRDefault="00534DC1" w:rsidP="00534DC1">
      <w:pPr>
        <w:spacing w:line="276" w:lineRule="auto"/>
        <w:ind w:left="0" w:right="0"/>
      </w:pPr>
      <w:r>
        <w:t>-Pour les cystite à risque de complication ou cystite gravidique ou PNA ou IU masculine ; un taux de résistance &gt;10% n’est pas acceptable  .</w:t>
      </w:r>
    </w:p>
    <w:p w:rsidR="00534DC1" w:rsidRPr="006E6815" w:rsidRDefault="00534DC1" w:rsidP="00534DC1">
      <w:pPr>
        <w:pStyle w:val="Titre1"/>
      </w:pPr>
      <w:r w:rsidRPr="006E6815">
        <w:t xml:space="preserve">Diagnostique Biologique </w:t>
      </w:r>
    </w:p>
    <w:p w:rsidR="00534DC1" w:rsidRPr="006E6815" w:rsidRDefault="007A5190" w:rsidP="007A5190">
      <w:pPr>
        <w:pStyle w:val="Titre2"/>
        <w:spacing w:line="276" w:lineRule="auto"/>
      </w:pPr>
      <w:r>
        <w:t xml:space="preserve">1) </w:t>
      </w:r>
      <w:r w:rsidR="00534DC1" w:rsidRPr="006E6815">
        <w:t>Prélèvement</w:t>
      </w:r>
    </w:p>
    <w:p w:rsidR="00534DC1" w:rsidRDefault="00534DC1" w:rsidP="00534DC1">
      <w:pPr>
        <w:pStyle w:val="Paragraphedeliste"/>
        <w:numPr>
          <w:ilvl w:val="0"/>
          <w:numId w:val="5"/>
        </w:numPr>
        <w:spacing w:line="276" w:lineRule="auto"/>
        <w:ind w:left="0" w:right="0"/>
      </w:pPr>
      <w:r w:rsidRPr="007A5190">
        <w:rPr>
          <w:color w:val="0070C0"/>
        </w:rPr>
        <w:t>Chez l’adulte</w:t>
      </w:r>
      <w:r>
        <w:t> : Désinfecter le méat urinaire au Dakin et rejeter le premier jet d’urines et recueillir l’urine du milieu dans un flacon stérile</w:t>
      </w:r>
    </w:p>
    <w:p w:rsidR="00534DC1" w:rsidRDefault="00534DC1" w:rsidP="00534DC1">
      <w:pPr>
        <w:pStyle w:val="Paragraphedeliste"/>
        <w:numPr>
          <w:ilvl w:val="0"/>
          <w:numId w:val="5"/>
        </w:numPr>
        <w:spacing w:line="276" w:lineRule="auto"/>
        <w:ind w:left="0" w:right="0"/>
      </w:pPr>
      <w:r w:rsidRPr="007A5190">
        <w:rPr>
          <w:color w:val="0070C0"/>
        </w:rPr>
        <w:t>Chez le nourrisson :</w:t>
      </w:r>
      <w:r>
        <w:t xml:space="preserve"> Placer une poche stérile adhésive et la maintenir en place moins de 20mn puis retirer la poche une fois que l’enfant a uriné</w:t>
      </w:r>
    </w:p>
    <w:p w:rsidR="00534DC1" w:rsidRDefault="00534DC1" w:rsidP="00534DC1">
      <w:pPr>
        <w:pStyle w:val="Paragraphedeliste"/>
        <w:numPr>
          <w:ilvl w:val="0"/>
          <w:numId w:val="5"/>
        </w:numPr>
        <w:spacing w:line="276" w:lineRule="auto"/>
        <w:ind w:left="0" w:right="0"/>
      </w:pPr>
      <w:r w:rsidRPr="007A5190">
        <w:rPr>
          <w:color w:val="0070C0"/>
        </w:rPr>
        <w:t>Chez le malade porteur d’une sonde :</w:t>
      </w:r>
      <w:r>
        <w:t xml:space="preserve"> Désinfecter la sonde avec l’alcool iodé à environ 5 cm de son extrémité proximale et ponctionner 2 à 5 </w:t>
      </w:r>
      <w:proofErr w:type="spellStart"/>
      <w:r>
        <w:t>mL</w:t>
      </w:r>
      <w:proofErr w:type="spellEnd"/>
      <w:r>
        <w:t xml:space="preserve"> d’urine en piquant la sonde à l’aide d’une seringue </w:t>
      </w:r>
    </w:p>
    <w:p w:rsidR="00534DC1" w:rsidRDefault="00534DC1" w:rsidP="00534DC1">
      <w:pPr>
        <w:tabs>
          <w:tab w:val="right" w:pos="8459"/>
        </w:tabs>
        <w:spacing w:line="276" w:lineRule="auto"/>
        <w:ind w:left="0" w:right="0"/>
      </w:pPr>
      <w:r>
        <w:t>!!! Ne pas conserver à T° ambiante + de 2H et les prélèvements peuvent être stockés à +4°</w:t>
      </w:r>
    </w:p>
    <w:p w:rsidR="00534DC1" w:rsidRPr="006E6815" w:rsidRDefault="007A5190" w:rsidP="007A5190">
      <w:pPr>
        <w:pStyle w:val="Titre2"/>
        <w:spacing w:line="276" w:lineRule="auto"/>
      </w:pPr>
      <w:r>
        <w:t xml:space="preserve">2) </w:t>
      </w:r>
      <w:r w:rsidR="00534DC1" w:rsidRPr="006E6815">
        <w:t>Examen</w:t>
      </w:r>
    </w:p>
    <w:p w:rsidR="00534DC1" w:rsidRDefault="00534DC1" w:rsidP="00534DC1">
      <w:pPr>
        <w:pStyle w:val="Paragraphedeliste"/>
        <w:numPr>
          <w:ilvl w:val="0"/>
          <w:numId w:val="6"/>
        </w:numPr>
        <w:tabs>
          <w:tab w:val="right" w:pos="8459"/>
        </w:tabs>
        <w:spacing w:line="276" w:lineRule="auto"/>
        <w:ind w:left="0" w:right="0"/>
      </w:pPr>
      <w:r>
        <w:t>Direct : dénombrer le nombre de leucocytes et rapporter le nombre d’éléments/</w:t>
      </w:r>
      <w:proofErr w:type="spellStart"/>
      <w:r>
        <w:t>mL</w:t>
      </w:r>
      <w:proofErr w:type="spellEnd"/>
    </w:p>
    <w:p w:rsidR="00534DC1" w:rsidRDefault="00534DC1" w:rsidP="00534DC1">
      <w:pPr>
        <w:pStyle w:val="Paragraphedeliste"/>
        <w:tabs>
          <w:tab w:val="right" w:pos="8459"/>
        </w:tabs>
        <w:spacing w:line="276" w:lineRule="auto"/>
        <w:ind w:left="0" w:right="0"/>
      </w:pPr>
      <w:r>
        <w:t>- la présence d’hématies témoigne d’une lésion des muqueuses de l’appareil urinaire </w:t>
      </w:r>
    </w:p>
    <w:p w:rsidR="00534DC1" w:rsidRDefault="00534DC1" w:rsidP="00534DC1">
      <w:pPr>
        <w:pStyle w:val="Paragraphedeliste"/>
        <w:tabs>
          <w:tab w:val="right" w:pos="8459"/>
        </w:tabs>
        <w:spacing w:line="276" w:lineRule="auto"/>
        <w:ind w:left="0" w:right="0"/>
      </w:pPr>
      <w:r>
        <w:lastRenderedPageBreak/>
        <w:t>- la présence de cristaux / nature à l’alimentation ou prise de médicaments </w:t>
      </w:r>
    </w:p>
    <w:p w:rsidR="00534DC1" w:rsidRDefault="00534DC1" w:rsidP="00534DC1">
      <w:pPr>
        <w:pStyle w:val="Paragraphedeliste"/>
        <w:tabs>
          <w:tab w:val="right" w:pos="8459"/>
        </w:tabs>
        <w:spacing w:line="276" w:lineRule="auto"/>
        <w:ind w:left="0" w:right="0"/>
      </w:pPr>
      <w:r>
        <w:t xml:space="preserve">- La présence de cylindres signe une atteinte tubulaire </w:t>
      </w:r>
    </w:p>
    <w:p w:rsidR="00534DC1" w:rsidRDefault="00534DC1" w:rsidP="00534DC1">
      <w:pPr>
        <w:pStyle w:val="Paragraphedeliste"/>
        <w:tabs>
          <w:tab w:val="right" w:pos="8459"/>
        </w:tabs>
        <w:spacing w:line="276" w:lineRule="auto"/>
        <w:ind w:left="0" w:right="0"/>
      </w:pPr>
      <w:r>
        <w:t>-Levure ou flore microbienne, œufs d’oxyures</w:t>
      </w:r>
    </w:p>
    <w:p w:rsidR="00534DC1" w:rsidRPr="006E6815" w:rsidRDefault="00534DC1" w:rsidP="007A5190">
      <w:pPr>
        <w:pStyle w:val="Titre2"/>
        <w:spacing w:line="276" w:lineRule="auto"/>
      </w:pPr>
      <w:r w:rsidRPr="006E6815">
        <w:t xml:space="preserve">3)   Culture </w:t>
      </w:r>
    </w:p>
    <w:p w:rsidR="00534DC1" w:rsidRDefault="00534DC1" w:rsidP="00534DC1">
      <w:pPr>
        <w:tabs>
          <w:tab w:val="right" w:pos="8459"/>
        </w:tabs>
        <w:spacing w:line="276" w:lineRule="auto"/>
        <w:ind w:left="0" w:right="0"/>
      </w:pPr>
      <w:r w:rsidRPr="007A5190">
        <w:rPr>
          <w:color w:val="0070C0"/>
        </w:rPr>
        <w:t xml:space="preserve">a) Méthode qualitative : Gélose </w:t>
      </w:r>
      <w:r>
        <w:t>ordinaire ou sélective pour BGN-(</w:t>
      </w:r>
      <w:proofErr w:type="spellStart"/>
      <w:r>
        <w:t>Drigalski</w:t>
      </w:r>
      <w:proofErr w:type="spellEnd"/>
      <w:r>
        <w:t xml:space="preserve"> ou EMB)</w:t>
      </w:r>
    </w:p>
    <w:p w:rsidR="00534DC1" w:rsidRDefault="00534DC1" w:rsidP="00534DC1">
      <w:pPr>
        <w:tabs>
          <w:tab w:val="right" w:pos="8459"/>
        </w:tabs>
        <w:spacing w:line="276" w:lineRule="auto"/>
        <w:ind w:left="0" w:right="0"/>
      </w:pPr>
      <w:r w:rsidRPr="007A5190">
        <w:rPr>
          <w:color w:val="0070C0"/>
        </w:rPr>
        <w:t>b) Méthode quantitative :</w:t>
      </w:r>
      <w:r>
        <w:t xml:space="preserve"> Dilution au 1/100 de l’urine pure homogénéisée et étaler au râteau 0.1 Ml/ gélose ordinaire (Interprétation en fonction du N de colonies)</w:t>
      </w:r>
    </w:p>
    <w:p w:rsidR="00534DC1" w:rsidRDefault="00534DC1" w:rsidP="00534DC1">
      <w:pPr>
        <w:tabs>
          <w:tab w:val="right" w:pos="8459"/>
        </w:tabs>
        <w:spacing w:line="276" w:lineRule="auto"/>
        <w:ind w:left="0" w:right="0"/>
      </w:pPr>
      <w:r w:rsidRPr="007A5190">
        <w:rPr>
          <w:color w:val="0070C0"/>
        </w:rPr>
        <w:t>c) Gélose au sang 5%</w:t>
      </w:r>
      <w:r>
        <w:t xml:space="preserve"> pour les streptocoques si l’urine est trouble ou hémorragique</w:t>
      </w:r>
    </w:p>
    <w:p w:rsidR="00534DC1" w:rsidRPr="006E6815" w:rsidRDefault="00534DC1" w:rsidP="007A5190">
      <w:pPr>
        <w:pStyle w:val="Titre2"/>
        <w:spacing w:line="276" w:lineRule="auto"/>
      </w:pPr>
      <w:r w:rsidRPr="006E6815">
        <w:t>4)   Germes en question</w:t>
      </w:r>
    </w:p>
    <w:p w:rsidR="00534DC1" w:rsidRDefault="00534DC1" w:rsidP="00534DC1">
      <w:pPr>
        <w:tabs>
          <w:tab w:val="right" w:pos="8459"/>
        </w:tabs>
        <w:spacing w:line="276" w:lineRule="auto"/>
        <w:ind w:left="0" w:right="0"/>
      </w:pPr>
      <w:r>
        <w:t xml:space="preserve"> </w:t>
      </w:r>
      <w:r w:rsidRPr="007A5190">
        <w:rPr>
          <w:i/>
          <w:iCs/>
          <w:color w:val="4F6228" w:themeColor="accent3" w:themeShade="80"/>
        </w:rPr>
        <w:t xml:space="preserve">-Entérobactéries </w:t>
      </w:r>
      <w:r>
        <w:t>+++</w:t>
      </w:r>
    </w:p>
    <w:p w:rsidR="00534DC1" w:rsidRDefault="00534DC1" w:rsidP="00534DC1">
      <w:pPr>
        <w:tabs>
          <w:tab w:val="right" w:pos="8459"/>
        </w:tabs>
        <w:spacing w:line="276" w:lineRule="auto"/>
        <w:ind w:left="0" w:right="0"/>
      </w:pPr>
      <w:r>
        <w:t>-</w:t>
      </w:r>
      <w:proofErr w:type="spellStart"/>
      <w:r w:rsidRPr="007A5190">
        <w:rPr>
          <w:i/>
          <w:iCs/>
          <w:color w:val="4F6228" w:themeColor="accent3" w:themeShade="80"/>
        </w:rPr>
        <w:t>E.Coli</w:t>
      </w:r>
      <w:proofErr w:type="spellEnd"/>
      <w:r>
        <w:t xml:space="preserve"> +++</w:t>
      </w:r>
    </w:p>
    <w:p w:rsidR="00534DC1" w:rsidRDefault="00534DC1" w:rsidP="00534DC1">
      <w:pPr>
        <w:tabs>
          <w:tab w:val="right" w:pos="8459"/>
        </w:tabs>
        <w:spacing w:line="276" w:lineRule="auto"/>
        <w:ind w:left="0" w:right="0"/>
      </w:pPr>
      <w:r>
        <w:t>-</w:t>
      </w:r>
      <w:proofErr w:type="spellStart"/>
      <w:r w:rsidRPr="007A5190">
        <w:rPr>
          <w:i/>
          <w:iCs/>
          <w:color w:val="4F6228" w:themeColor="accent3" w:themeShade="80"/>
        </w:rPr>
        <w:t>Staph</w:t>
      </w:r>
      <w:proofErr w:type="spellEnd"/>
      <w:r w:rsidRPr="007A5190">
        <w:rPr>
          <w:i/>
          <w:iCs/>
          <w:color w:val="4F6228" w:themeColor="accent3" w:themeShade="80"/>
        </w:rPr>
        <w:t>-</w:t>
      </w:r>
      <w:proofErr w:type="spellStart"/>
      <w:r w:rsidRPr="007A5190">
        <w:rPr>
          <w:i/>
          <w:iCs/>
          <w:color w:val="4F6228" w:themeColor="accent3" w:themeShade="80"/>
        </w:rPr>
        <w:t>saprophyticus</w:t>
      </w:r>
      <w:proofErr w:type="spellEnd"/>
    </w:p>
    <w:p w:rsidR="00534DC1" w:rsidRDefault="00534DC1" w:rsidP="00534DC1">
      <w:pPr>
        <w:tabs>
          <w:tab w:val="right" w:pos="8459"/>
        </w:tabs>
        <w:spacing w:line="276" w:lineRule="auto"/>
        <w:ind w:left="0" w:right="0"/>
      </w:pPr>
      <w:r>
        <w:t>-</w:t>
      </w:r>
      <w:proofErr w:type="spellStart"/>
      <w:r w:rsidRPr="007A5190">
        <w:rPr>
          <w:i/>
          <w:iCs/>
          <w:color w:val="4F6228" w:themeColor="accent3" w:themeShade="80"/>
        </w:rPr>
        <w:t>Proteus</w:t>
      </w:r>
      <w:proofErr w:type="spellEnd"/>
      <w:r w:rsidRPr="007A5190">
        <w:rPr>
          <w:i/>
          <w:iCs/>
          <w:color w:val="4F6228" w:themeColor="accent3" w:themeShade="80"/>
        </w:rPr>
        <w:t xml:space="preserve"> mirabilis</w:t>
      </w:r>
      <w:r>
        <w:t xml:space="preserve">  </w:t>
      </w:r>
    </w:p>
    <w:p w:rsidR="00534DC1" w:rsidRDefault="00534DC1" w:rsidP="00534DC1">
      <w:pPr>
        <w:tabs>
          <w:tab w:val="right" w:pos="8459"/>
        </w:tabs>
        <w:spacing w:line="276" w:lineRule="auto"/>
        <w:ind w:left="0" w:right="0"/>
      </w:pPr>
      <w:r>
        <w:t>-</w:t>
      </w:r>
      <w:proofErr w:type="spellStart"/>
      <w:r w:rsidRPr="007A5190">
        <w:rPr>
          <w:i/>
          <w:iCs/>
          <w:color w:val="4F6228" w:themeColor="accent3" w:themeShade="80"/>
        </w:rPr>
        <w:t>Klebsiella</w:t>
      </w:r>
      <w:proofErr w:type="spellEnd"/>
      <w:r w:rsidR="007A5190" w:rsidRPr="007A5190">
        <w:rPr>
          <w:i/>
          <w:iCs/>
          <w:color w:val="4F6228" w:themeColor="accent3" w:themeShade="80"/>
        </w:rPr>
        <w:t xml:space="preserve"> </w:t>
      </w:r>
      <w:proofErr w:type="spellStart"/>
      <w:r w:rsidRPr="007A5190">
        <w:rPr>
          <w:i/>
          <w:iCs/>
          <w:color w:val="4F6228" w:themeColor="accent3" w:themeShade="80"/>
        </w:rPr>
        <w:t>spp</w:t>
      </w:r>
      <w:proofErr w:type="spellEnd"/>
    </w:p>
    <w:p w:rsidR="00534DC1" w:rsidRPr="006E6815" w:rsidRDefault="00534DC1" w:rsidP="007A5190">
      <w:pPr>
        <w:pStyle w:val="Titre2"/>
        <w:spacing w:line="276" w:lineRule="auto"/>
      </w:pPr>
      <w:r w:rsidRPr="006E6815">
        <w:t xml:space="preserve">5) Résultat </w:t>
      </w:r>
    </w:p>
    <w:p w:rsidR="00534DC1" w:rsidRDefault="00534DC1" w:rsidP="007A5190">
      <w:pPr>
        <w:tabs>
          <w:tab w:val="right" w:pos="8459"/>
        </w:tabs>
        <w:spacing w:line="276" w:lineRule="auto"/>
        <w:ind w:left="0" w:right="0"/>
        <w:jc w:val="center"/>
      </w:pPr>
      <w:r>
        <w:rPr>
          <w:noProof/>
          <w:lang w:eastAsia="fr-FR"/>
        </w:rPr>
        <w:drawing>
          <wp:inline distT="0" distB="0" distL="0" distR="0">
            <wp:extent cx="3548455" cy="2762250"/>
            <wp:effectExtent l="19050" t="0" r="0" b="0"/>
            <wp:docPr id="12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1576" cy="276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DC1" w:rsidRDefault="00534DC1" w:rsidP="00E438A8">
      <w:pPr>
        <w:spacing w:line="276" w:lineRule="auto"/>
        <w:ind w:left="0" w:right="0"/>
        <w:jc w:val="center"/>
        <w:sectPr w:rsidR="00534DC1" w:rsidSect="00534DC1">
          <w:pgSz w:w="16838" w:h="11906" w:orient="landscape"/>
          <w:pgMar w:top="567" w:right="567" w:bottom="567" w:left="567" w:header="709" w:footer="709" w:gutter="0"/>
          <w:cols w:num="2" w:space="708"/>
          <w:docGrid w:linePitch="360"/>
        </w:sectPr>
      </w:pPr>
    </w:p>
    <w:p w:rsidR="00E438A8" w:rsidRPr="00253078" w:rsidRDefault="00E438A8" w:rsidP="00E438A8">
      <w:pPr>
        <w:spacing w:line="276" w:lineRule="auto"/>
        <w:ind w:left="0" w:right="0"/>
        <w:jc w:val="center"/>
      </w:pPr>
    </w:p>
    <w:sectPr w:rsidR="00E438A8" w:rsidRPr="00253078" w:rsidSect="00534DC1">
      <w:type w:val="continuous"/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4613CA"/>
    <w:multiLevelType w:val="hybridMultilevel"/>
    <w:tmpl w:val="813E9E04"/>
    <w:lvl w:ilvl="0" w:tplc="112869D0">
      <w:start w:val="1"/>
      <w:numFmt w:val="lowerLetter"/>
      <w:lvlText w:val="%1)"/>
      <w:lvlJc w:val="left"/>
      <w:pPr>
        <w:ind w:left="-491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29" w:hanging="360"/>
      </w:pPr>
    </w:lvl>
    <w:lvl w:ilvl="2" w:tplc="040C001B" w:tentative="1">
      <w:start w:val="1"/>
      <w:numFmt w:val="lowerRoman"/>
      <w:lvlText w:val="%3."/>
      <w:lvlJc w:val="right"/>
      <w:pPr>
        <w:ind w:left="949" w:hanging="180"/>
      </w:pPr>
    </w:lvl>
    <w:lvl w:ilvl="3" w:tplc="040C000F" w:tentative="1">
      <w:start w:val="1"/>
      <w:numFmt w:val="decimal"/>
      <w:lvlText w:val="%4."/>
      <w:lvlJc w:val="left"/>
      <w:pPr>
        <w:ind w:left="1669" w:hanging="360"/>
      </w:pPr>
    </w:lvl>
    <w:lvl w:ilvl="4" w:tplc="040C0019" w:tentative="1">
      <w:start w:val="1"/>
      <w:numFmt w:val="lowerLetter"/>
      <w:lvlText w:val="%5."/>
      <w:lvlJc w:val="left"/>
      <w:pPr>
        <w:ind w:left="2389" w:hanging="360"/>
      </w:pPr>
    </w:lvl>
    <w:lvl w:ilvl="5" w:tplc="040C001B" w:tentative="1">
      <w:start w:val="1"/>
      <w:numFmt w:val="lowerRoman"/>
      <w:lvlText w:val="%6."/>
      <w:lvlJc w:val="right"/>
      <w:pPr>
        <w:ind w:left="3109" w:hanging="180"/>
      </w:pPr>
    </w:lvl>
    <w:lvl w:ilvl="6" w:tplc="040C000F" w:tentative="1">
      <w:start w:val="1"/>
      <w:numFmt w:val="decimal"/>
      <w:lvlText w:val="%7."/>
      <w:lvlJc w:val="left"/>
      <w:pPr>
        <w:ind w:left="3829" w:hanging="360"/>
      </w:pPr>
    </w:lvl>
    <w:lvl w:ilvl="7" w:tplc="040C0019" w:tentative="1">
      <w:start w:val="1"/>
      <w:numFmt w:val="lowerLetter"/>
      <w:lvlText w:val="%8."/>
      <w:lvlJc w:val="left"/>
      <w:pPr>
        <w:ind w:left="4549" w:hanging="360"/>
      </w:pPr>
    </w:lvl>
    <w:lvl w:ilvl="8" w:tplc="040C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1">
    <w:nsid w:val="26AD04A1"/>
    <w:multiLevelType w:val="hybridMultilevel"/>
    <w:tmpl w:val="D80AA260"/>
    <w:lvl w:ilvl="0" w:tplc="5C48B98A">
      <w:start w:val="1"/>
      <w:numFmt w:val="decimal"/>
      <w:lvlText w:val="%1)"/>
      <w:lvlJc w:val="left"/>
      <w:pPr>
        <w:ind w:left="-491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29" w:hanging="360"/>
      </w:pPr>
    </w:lvl>
    <w:lvl w:ilvl="2" w:tplc="040C001B" w:tentative="1">
      <w:start w:val="1"/>
      <w:numFmt w:val="lowerRoman"/>
      <w:lvlText w:val="%3."/>
      <w:lvlJc w:val="right"/>
      <w:pPr>
        <w:ind w:left="949" w:hanging="180"/>
      </w:pPr>
    </w:lvl>
    <w:lvl w:ilvl="3" w:tplc="040C000F" w:tentative="1">
      <w:start w:val="1"/>
      <w:numFmt w:val="decimal"/>
      <w:lvlText w:val="%4."/>
      <w:lvlJc w:val="left"/>
      <w:pPr>
        <w:ind w:left="1669" w:hanging="360"/>
      </w:pPr>
    </w:lvl>
    <w:lvl w:ilvl="4" w:tplc="040C0019" w:tentative="1">
      <w:start w:val="1"/>
      <w:numFmt w:val="lowerLetter"/>
      <w:lvlText w:val="%5."/>
      <w:lvlJc w:val="left"/>
      <w:pPr>
        <w:ind w:left="2389" w:hanging="360"/>
      </w:pPr>
    </w:lvl>
    <w:lvl w:ilvl="5" w:tplc="040C001B" w:tentative="1">
      <w:start w:val="1"/>
      <w:numFmt w:val="lowerRoman"/>
      <w:lvlText w:val="%6."/>
      <w:lvlJc w:val="right"/>
      <w:pPr>
        <w:ind w:left="3109" w:hanging="180"/>
      </w:pPr>
    </w:lvl>
    <w:lvl w:ilvl="6" w:tplc="040C000F" w:tentative="1">
      <w:start w:val="1"/>
      <w:numFmt w:val="decimal"/>
      <w:lvlText w:val="%7."/>
      <w:lvlJc w:val="left"/>
      <w:pPr>
        <w:ind w:left="3829" w:hanging="360"/>
      </w:pPr>
    </w:lvl>
    <w:lvl w:ilvl="7" w:tplc="040C0019" w:tentative="1">
      <w:start w:val="1"/>
      <w:numFmt w:val="lowerLetter"/>
      <w:lvlText w:val="%8."/>
      <w:lvlJc w:val="left"/>
      <w:pPr>
        <w:ind w:left="4549" w:hanging="360"/>
      </w:pPr>
    </w:lvl>
    <w:lvl w:ilvl="8" w:tplc="040C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2">
    <w:nsid w:val="3C7D55A7"/>
    <w:multiLevelType w:val="hybridMultilevel"/>
    <w:tmpl w:val="215AF0AE"/>
    <w:lvl w:ilvl="0" w:tplc="D3C0E2CC">
      <w:start w:val="1"/>
      <w:numFmt w:val="upperRoman"/>
      <w:lvlText w:val="%1)"/>
      <w:lvlJc w:val="left"/>
      <w:pPr>
        <w:ind w:left="-131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29" w:hanging="360"/>
      </w:pPr>
    </w:lvl>
    <w:lvl w:ilvl="2" w:tplc="040C001B" w:tentative="1">
      <w:start w:val="1"/>
      <w:numFmt w:val="lowerRoman"/>
      <w:lvlText w:val="%3."/>
      <w:lvlJc w:val="right"/>
      <w:pPr>
        <w:ind w:left="949" w:hanging="180"/>
      </w:pPr>
    </w:lvl>
    <w:lvl w:ilvl="3" w:tplc="040C000F" w:tentative="1">
      <w:start w:val="1"/>
      <w:numFmt w:val="decimal"/>
      <w:lvlText w:val="%4."/>
      <w:lvlJc w:val="left"/>
      <w:pPr>
        <w:ind w:left="1669" w:hanging="360"/>
      </w:pPr>
    </w:lvl>
    <w:lvl w:ilvl="4" w:tplc="040C0019" w:tentative="1">
      <w:start w:val="1"/>
      <w:numFmt w:val="lowerLetter"/>
      <w:lvlText w:val="%5."/>
      <w:lvlJc w:val="left"/>
      <w:pPr>
        <w:ind w:left="2389" w:hanging="360"/>
      </w:pPr>
    </w:lvl>
    <w:lvl w:ilvl="5" w:tplc="040C001B" w:tentative="1">
      <w:start w:val="1"/>
      <w:numFmt w:val="lowerRoman"/>
      <w:lvlText w:val="%6."/>
      <w:lvlJc w:val="right"/>
      <w:pPr>
        <w:ind w:left="3109" w:hanging="180"/>
      </w:pPr>
    </w:lvl>
    <w:lvl w:ilvl="6" w:tplc="040C000F" w:tentative="1">
      <w:start w:val="1"/>
      <w:numFmt w:val="decimal"/>
      <w:lvlText w:val="%7."/>
      <w:lvlJc w:val="left"/>
      <w:pPr>
        <w:ind w:left="3829" w:hanging="360"/>
      </w:pPr>
    </w:lvl>
    <w:lvl w:ilvl="7" w:tplc="040C0019" w:tentative="1">
      <w:start w:val="1"/>
      <w:numFmt w:val="lowerLetter"/>
      <w:lvlText w:val="%8."/>
      <w:lvlJc w:val="left"/>
      <w:pPr>
        <w:ind w:left="4549" w:hanging="360"/>
      </w:pPr>
    </w:lvl>
    <w:lvl w:ilvl="8" w:tplc="040C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3">
    <w:nsid w:val="602D6DF0"/>
    <w:multiLevelType w:val="hybridMultilevel"/>
    <w:tmpl w:val="71D44FCC"/>
    <w:lvl w:ilvl="0" w:tplc="5C48B98A">
      <w:start w:val="1"/>
      <w:numFmt w:val="decimal"/>
      <w:lvlText w:val="%1)"/>
      <w:lvlJc w:val="left"/>
      <w:pPr>
        <w:ind w:left="-491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29" w:hanging="360"/>
      </w:pPr>
    </w:lvl>
    <w:lvl w:ilvl="2" w:tplc="040C001B" w:tentative="1">
      <w:start w:val="1"/>
      <w:numFmt w:val="lowerRoman"/>
      <w:lvlText w:val="%3."/>
      <w:lvlJc w:val="right"/>
      <w:pPr>
        <w:ind w:left="949" w:hanging="180"/>
      </w:pPr>
    </w:lvl>
    <w:lvl w:ilvl="3" w:tplc="040C000F" w:tentative="1">
      <w:start w:val="1"/>
      <w:numFmt w:val="decimal"/>
      <w:lvlText w:val="%4."/>
      <w:lvlJc w:val="left"/>
      <w:pPr>
        <w:ind w:left="1669" w:hanging="360"/>
      </w:pPr>
    </w:lvl>
    <w:lvl w:ilvl="4" w:tplc="040C0019" w:tentative="1">
      <w:start w:val="1"/>
      <w:numFmt w:val="lowerLetter"/>
      <w:lvlText w:val="%5."/>
      <w:lvlJc w:val="left"/>
      <w:pPr>
        <w:ind w:left="2389" w:hanging="360"/>
      </w:pPr>
    </w:lvl>
    <w:lvl w:ilvl="5" w:tplc="040C001B" w:tentative="1">
      <w:start w:val="1"/>
      <w:numFmt w:val="lowerRoman"/>
      <w:lvlText w:val="%6."/>
      <w:lvlJc w:val="right"/>
      <w:pPr>
        <w:ind w:left="3109" w:hanging="180"/>
      </w:pPr>
    </w:lvl>
    <w:lvl w:ilvl="6" w:tplc="040C000F" w:tentative="1">
      <w:start w:val="1"/>
      <w:numFmt w:val="decimal"/>
      <w:lvlText w:val="%7."/>
      <w:lvlJc w:val="left"/>
      <w:pPr>
        <w:ind w:left="3829" w:hanging="360"/>
      </w:pPr>
    </w:lvl>
    <w:lvl w:ilvl="7" w:tplc="040C0019" w:tentative="1">
      <w:start w:val="1"/>
      <w:numFmt w:val="lowerLetter"/>
      <w:lvlText w:val="%8."/>
      <w:lvlJc w:val="left"/>
      <w:pPr>
        <w:ind w:left="4549" w:hanging="360"/>
      </w:pPr>
    </w:lvl>
    <w:lvl w:ilvl="8" w:tplc="040C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4">
    <w:nsid w:val="69215966"/>
    <w:multiLevelType w:val="hybridMultilevel"/>
    <w:tmpl w:val="67C0A3F2"/>
    <w:lvl w:ilvl="0" w:tplc="C76ADDF4">
      <w:start w:val="1"/>
      <w:numFmt w:val="lowerLetter"/>
      <w:lvlText w:val="%1)"/>
      <w:lvlJc w:val="left"/>
      <w:pPr>
        <w:ind w:left="-491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229" w:hanging="360"/>
      </w:pPr>
    </w:lvl>
    <w:lvl w:ilvl="2" w:tplc="040C001B" w:tentative="1">
      <w:start w:val="1"/>
      <w:numFmt w:val="lowerRoman"/>
      <w:lvlText w:val="%3."/>
      <w:lvlJc w:val="right"/>
      <w:pPr>
        <w:ind w:left="949" w:hanging="180"/>
      </w:pPr>
    </w:lvl>
    <w:lvl w:ilvl="3" w:tplc="040C000F" w:tentative="1">
      <w:start w:val="1"/>
      <w:numFmt w:val="decimal"/>
      <w:lvlText w:val="%4."/>
      <w:lvlJc w:val="left"/>
      <w:pPr>
        <w:ind w:left="1669" w:hanging="360"/>
      </w:pPr>
    </w:lvl>
    <w:lvl w:ilvl="4" w:tplc="040C0019" w:tentative="1">
      <w:start w:val="1"/>
      <w:numFmt w:val="lowerLetter"/>
      <w:lvlText w:val="%5."/>
      <w:lvlJc w:val="left"/>
      <w:pPr>
        <w:ind w:left="2389" w:hanging="360"/>
      </w:pPr>
    </w:lvl>
    <w:lvl w:ilvl="5" w:tplc="040C001B" w:tentative="1">
      <w:start w:val="1"/>
      <w:numFmt w:val="lowerRoman"/>
      <w:lvlText w:val="%6."/>
      <w:lvlJc w:val="right"/>
      <w:pPr>
        <w:ind w:left="3109" w:hanging="180"/>
      </w:pPr>
    </w:lvl>
    <w:lvl w:ilvl="6" w:tplc="040C000F" w:tentative="1">
      <w:start w:val="1"/>
      <w:numFmt w:val="decimal"/>
      <w:lvlText w:val="%7."/>
      <w:lvlJc w:val="left"/>
      <w:pPr>
        <w:ind w:left="3829" w:hanging="360"/>
      </w:pPr>
    </w:lvl>
    <w:lvl w:ilvl="7" w:tplc="040C0019" w:tentative="1">
      <w:start w:val="1"/>
      <w:numFmt w:val="lowerLetter"/>
      <w:lvlText w:val="%8."/>
      <w:lvlJc w:val="left"/>
      <w:pPr>
        <w:ind w:left="4549" w:hanging="360"/>
      </w:pPr>
    </w:lvl>
    <w:lvl w:ilvl="8" w:tplc="040C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5">
    <w:nsid w:val="75A878CC"/>
    <w:multiLevelType w:val="hybridMultilevel"/>
    <w:tmpl w:val="FE2EC616"/>
    <w:lvl w:ilvl="0" w:tplc="040C0011">
      <w:start w:val="1"/>
      <w:numFmt w:val="decimal"/>
      <w:lvlText w:val="%1)"/>
      <w:lvlJc w:val="left"/>
      <w:pPr>
        <w:ind w:left="360" w:hanging="360"/>
      </w:pPr>
    </w:lvl>
    <w:lvl w:ilvl="1" w:tplc="040C0019" w:tentative="1">
      <w:start w:val="1"/>
      <w:numFmt w:val="lowerLetter"/>
      <w:lvlText w:val="%2."/>
      <w:lvlJc w:val="left"/>
      <w:pPr>
        <w:ind w:left="1080" w:hanging="360"/>
      </w:pPr>
    </w:lvl>
    <w:lvl w:ilvl="2" w:tplc="040C001B" w:tentative="1">
      <w:start w:val="1"/>
      <w:numFmt w:val="lowerRoman"/>
      <w:lvlText w:val="%3."/>
      <w:lvlJc w:val="right"/>
      <w:pPr>
        <w:ind w:left="1800" w:hanging="180"/>
      </w:pPr>
    </w:lvl>
    <w:lvl w:ilvl="3" w:tplc="040C000F" w:tentative="1">
      <w:start w:val="1"/>
      <w:numFmt w:val="decimal"/>
      <w:lvlText w:val="%4."/>
      <w:lvlJc w:val="left"/>
      <w:pPr>
        <w:ind w:left="2520" w:hanging="360"/>
      </w:pPr>
    </w:lvl>
    <w:lvl w:ilvl="4" w:tplc="040C0019" w:tentative="1">
      <w:start w:val="1"/>
      <w:numFmt w:val="lowerLetter"/>
      <w:lvlText w:val="%5."/>
      <w:lvlJc w:val="left"/>
      <w:pPr>
        <w:ind w:left="3240" w:hanging="360"/>
      </w:pPr>
    </w:lvl>
    <w:lvl w:ilvl="5" w:tplc="040C001B" w:tentative="1">
      <w:start w:val="1"/>
      <w:numFmt w:val="lowerRoman"/>
      <w:lvlText w:val="%6."/>
      <w:lvlJc w:val="right"/>
      <w:pPr>
        <w:ind w:left="3960" w:hanging="180"/>
      </w:pPr>
    </w:lvl>
    <w:lvl w:ilvl="6" w:tplc="040C000F" w:tentative="1">
      <w:start w:val="1"/>
      <w:numFmt w:val="decimal"/>
      <w:lvlText w:val="%7."/>
      <w:lvlJc w:val="left"/>
      <w:pPr>
        <w:ind w:left="4680" w:hanging="360"/>
      </w:pPr>
    </w:lvl>
    <w:lvl w:ilvl="7" w:tplc="040C0019" w:tentative="1">
      <w:start w:val="1"/>
      <w:numFmt w:val="lowerLetter"/>
      <w:lvlText w:val="%8."/>
      <w:lvlJc w:val="left"/>
      <w:pPr>
        <w:ind w:left="5400" w:hanging="360"/>
      </w:pPr>
    </w:lvl>
    <w:lvl w:ilvl="8" w:tplc="040C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3"/>
  </w:num>
  <w:num w:numId="5">
    <w:abstractNumId w:val="4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B5218F"/>
    <w:rsid w:val="00064401"/>
    <w:rsid w:val="001465FA"/>
    <w:rsid w:val="001B05D5"/>
    <w:rsid w:val="001D0B08"/>
    <w:rsid w:val="001F5875"/>
    <w:rsid w:val="00223878"/>
    <w:rsid w:val="00232D00"/>
    <w:rsid w:val="00253078"/>
    <w:rsid w:val="00281A85"/>
    <w:rsid w:val="00342199"/>
    <w:rsid w:val="003D7368"/>
    <w:rsid w:val="00404313"/>
    <w:rsid w:val="00444893"/>
    <w:rsid w:val="00496274"/>
    <w:rsid w:val="004A7A69"/>
    <w:rsid w:val="004B7601"/>
    <w:rsid w:val="00505746"/>
    <w:rsid w:val="00534DC1"/>
    <w:rsid w:val="00545463"/>
    <w:rsid w:val="00561AD1"/>
    <w:rsid w:val="005D33B8"/>
    <w:rsid w:val="00646D94"/>
    <w:rsid w:val="00690C34"/>
    <w:rsid w:val="0069124D"/>
    <w:rsid w:val="006E685B"/>
    <w:rsid w:val="006F7A52"/>
    <w:rsid w:val="00722A05"/>
    <w:rsid w:val="00735F49"/>
    <w:rsid w:val="00744F5A"/>
    <w:rsid w:val="00771238"/>
    <w:rsid w:val="00787B8E"/>
    <w:rsid w:val="007966D8"/>
    <w:rsid w:val="007A5190"/>
    <w:rsid w:val="007D57A5"/>
    <w:rsid w:val="008514EA"/>
    <w:rsid w:val="008C25E7"/>
    <w:rsid w:val="008E3B22"/>
    <w:rsid w:val="009860F6"/>
    <w:rsid w:val="00991653"/>
    <w:rsid w:val="009D7125"/>
    <w:rsid w:val="00A252B1"/>
    <w:rsid w:val="00AC1025"/>
    <w:rsid w:val="00AF7C64"/>
    <w:rsid w:val="00B033D9"/>
    <w:rsid w:val="00B31134"/>
    <w:rsid w:val="00B5218F"/>
    <w:rsid w:val="00B672D6"/>
    <w:rsid w:val="00BC1F05"/>
    <w:rsid w:val="00BE7409"/>
    <w:rsid w:val="00C05B65"/>
    <w:rsid w:val="00C412A5"/>
    <w:rsid w:val="00CC10E7"/>
    <w:rsid w:val="00D0347A"/>
    <w:rsid w:val="00D421D5"/>
    <w:rsid w:val="00D706F5"/>
    <w:rsid w:val="00E17D4F"/>
    <w:rsid w:val="00E438A8"/>
    <w:rsid w:val="00E51D83"/>
    <w:rsid w:val="00E707B5"/>
    <w:rsid w:val="00E862DD"/>
    <w:rsid w:val="00F26D48"/>
    <w:rsid w:val="00F4129B"/>
    <w:rsid w:val="00F47844"/>
    <w:rsid w:val="00F85B4F"/>
    <w:rsid w:val="00FB35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53078"/>
    <w:pPr>
      <w:spacing w:after="0" w:line="812" w:lineRule="exact"/>
      <w:ind w:left="397" w:right="567"/>
    </w:pPr>
    <w:rPr>
      <w:rFonts w:eastAsiaTheme="minorHAnsi"/>
      <w:lang w:eastAsia="en-US"/>
    </w:rPr>
  </w:style>
  <w:style w:type="paragraph" w:styleId="Titre1">
    <w:name w:val="heading 1"/>
    <w:basedOn w:val="Normal"/>
    <w:next w:val="Normal"/>
    <w:link w:val="Titre1Car"/>
    <w:uiPriority w:val="9"/>
    <w:qFormat/>
    <w:rsid w:val="00722A05"/>
    <w:pPr>
      <w:keepNext/>
      <w:keepLines/>
      <w:pBdr>
        <w:bottom w:val="single" w:sz="8" w:space="1" w:color="FF0000"/>
      </w:pBdr>
      <w:shd w:val="clear" w:color="auto" w:fill="FFFFFF" w:themeFill="background1"/>
      <w:outlineLvl w:val="0"/>
    </w:pPr>
    <w:rPr>
      <w:rFonts w:ascii="Verdana" w:eastAsiaTheme="majorEastAsia" w:hAnsi="Verdana" w:cstheme="majorBidi"/>
      <w:b/>
      <w:bCs/>
      <w:color w:val="FF0000"/>
      <w:sz w:val="26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FB351E"/>
    <w:pPr>
      <w:keepNext/>
      <w:keepLines/>
      <w:outlineLvl w:val="1"/>
    </w:pPr>
    <w:rPr>
      <w:rFonts w:asciiTheme="majorHAnsi" w:eastAsiaTheme="majorEastAsia" w:hAnsiTheme="majorHAnsi" w:cstheme="majorBidi"/>
      <w:b/>
      <w:bCs/>
      <w:color w:val="006600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BE740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Textedelespacerserv">
    <w:name w:val="Placeholder Text"/>
    <w:basedOn w:val="Policepardfaut"/>
    <w:uiPriority w:val="99"/>
    <w:semiHidden/>
    <w:rsid w:val="00C412A5"/>
    <w:rPr>
      <w:color w:val="80808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412A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412A5"/>
    <w:rPr>
      <w:rFonts w:ascii="Tahoma" w:hAnsi="Tahoma" w:cs="Tahoma"/>
      <w:sz w:val="16"/>
      <w:szCs w:val="16"/>
    </w:rPr>
  </w:style>
  <w:style w:type="character" w:customStyle="1" w:styleId="Titre1Car">
    <w:name w:val="Titre 1 Car"/>
    <w:basedOn w:val="Policepardfaut"/>
    <w:link w:val="Titre1"/>
    <w:uiPriority w:val="9"/>
    <w:rsid w:val="00722A05"/>
    <w:rPr>
      <w:rFonts w:ascii="Verdana" w:eastAsiaTheme="majorEastAsia" w:hAnsi="Verdana" w:cstheme="majorBidi"/>
      <w:b/>
      <w:bCs/>
      <w:color w:val="FF0000"/>
      <w:sz w:val="26"/>
      <w:szCs w:val="28"/>
      <w:shd w:val="clear" w:color="auto" w:fill="FFFFFF" w:themeFill="background1"/>
      <w:lang w:eastAsia="en-US"/>
    </w:rPr>
  </w:style>
  <w:style w:type="paragraph" w:styleId="Paragraphedeliste">
    <w:name w:val="List Paragraph"/>
    <w:basedOn w:val="Normal"/>
    <w:uiPriority w:val="34"/>
    <w:qFormat/>
    <w:rsid w:val="00253078"/>
    <w:pPr>
      <w:ind w:left="720"/>
      <w:contextualSpacing/>
    </w:pPr>
  </w:style>
  <w:style w:type="character" w:customStyle="1" w:styleId="Titre2Car">
    <w:name w:val="Titre 2 Car"/>
    <w:basedOn w:val="Policepardfaut"/>
    <w:link w:val="Titre2"/>
    <w:uiPriority w:val="9"/>
    <w:rsid w:val="00FB351E"/>
    <w:rPr>
      <w:rFonts w:asciiTheme="majorHAnsi" w:eastAsiaTheme="majorEastAsia" w:hAnsiTheme="majorHAnsi" w:cstheme="majorBidi"/>
      <w:b/>
      <w:bCs/>
      <w:color w:val="006600"/>
      <w:sz w:val="26"/>
      <w:szCs w:val="2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5B4321-C7BE-4D83-8A3C-868C05DE78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410</TotalTime>
  <Pages>1</Pages>
  <Words>934</Words>
  <Characters>5139</Characters>
  <Application>Microsoft Office Word</Application>
  <DocSecurity>0</DocSecurity>
  <Lines>42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ASUS</cp:lastModifiedBy>
  <cp:revision>37</cp:revision>
  <dcterms:created xsi:type="dcterms:W3CDTF">2017-03-07T22:51:00Z</dcterms:created>
  <dcterms:modified xsi:type="dcterms:W3CDTF">2017-03-13T14:18:00Z</dcterms:modified>
</cp:coreProperties>
</file>